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A92" w:rsidRDefault="000F7FEC">
      <w:pPr>
        <w:rPr>
          <w:rFonts w:hint="eastAsia"/>
        </w:rPr>
      </w:pPr>
      <w:r w:rsidRPr="000F7FEC">
        <w:rPr>
          <w:rFonts w:hint="eastAsia"/>
        </w:rPr>
        <w:t>立法委員行為法</w:t>
      </w:r>
      <w:bookmarkStart w:id="0" w:name="_GoBack"/>
      <w:bookmarkEnd w:id="0"/>
    </w:p>
    <w:tbl>
      <w:tblPr>
        <w:tblW w:w="5000" w:type="pct"/>
        <w:tblCellSpacing w:w="0" w:type="dxa"/>
        <w:tblCellMar>
          <w:left w:w="0" w:type="dxa"/>
          <w:right w:w="0" w:type="dxa"/>
        </w:tblCellMar>
        <w:tblLook w:val="04A0" w:firstRow="1" w:lastRow="0" w:firstColumn="1" w:lastColumn="0" w:noHBand="0" w:noVBand="1"/>
      </w:tblPr>
      <w:tblGrid>
        <w:gridCol w:w="8306"/>
      </w:tblGrid>
      <w:tr w:rsidR="000F7FEC" w:rsidRPr="000F7FEC" w:rsidTr="000F7FEC">
        <w:trPr>
          <w:tblCellSpacing w:w="0" w:type="dxa"/>
        </w:trPr>
        <w:tc>
          <w:tcPr>
            <w:tcW w:w="0" w:type="auto"/>
            <w:hideMark/>
          </w:tcPr>
          <w:p w:rsidR="000F7FEC" w:rsidRPr="000F7FEC" w:rsidRDefault="000F7FEC" w:rsidP="000F7FEC">
            <w:pPr>
              <w:widowControl/>
              <w:rPr>
                <w:rFonts w:ascii="微軟正黑體" w:eastAsia="微軟正黑體" w:hAnsi="微軟正黑體" w:cs="新細明體"/>
                <w:b/>
                <w:bCs/>
                <w:color w:val="2A638E"/>
                <w:kern w:val="0"/>
              </w:rPr>
            </w:pPr>
            <w:r w:rsidRPr="000F7FEC">
              <w:rPr>
                <w:rFonts w:ascii="微軟正黑體" w:eastAsia="微軟正黑體" w:hAnsi="微軟正黑體" w:cs="新細明體" w:hint="eastAsia"/>
                <w:b/>
                <w:bCs/>
                <w:color w:val="2A638E"/>
                <w:kern w:val="0"/>
              </w:rPr>
              <w:t>中華民國91年01月15日</w:t>
            </w:r>
          </w:p>
        </w:tc>
      </w:tr>
      <w:tr w:rsidR="000F7FEC" w:rsidRPr="000F7FEC" w:rsidTr="000F7FEC">
        <w:trPr>
          <w:tblCellSpacing w:w="0" w:type="dxa"/>
        </w:trPr>
        <w:tc>
          <w:tcPr>
            <w:tcW w:w="0" w:type="auto"/>
            <w:tcMar>
              <w:top w:w="0" w:type="dxa"/>
              <w:left w:w="0" w:type="dxa"/>
              <w:bottom w:w="15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t>第一章 總則</w:t>
                  </w:r>
                </w:p>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第一條</w:t>
                        </w:r>
                        <w:r w:rsidRPr="000F7FEC">
                          <w:rPr>
                            <w:rFonts w:ascii="新細明體" w:hAnsi="新細明體" w:cs="新細明體"/>
                            <w:kern w:val="0"/>
                          </w:rPr>
                          <w:t> (立法依據)</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為維護國會尊嚴，確立立法委員倫理風範及行為準則，健全民主政治發展，依立法院組織法第二條制定本法。</w:t>
                              </w:r>
                              <w:r w:rsidRPr="000F7FEC">
                                <w:rPr>
                                  <w:rFonts w:ascii="新細明體" w:hAnsi="新細明體" w:cs="新細明體"/>
                                  <w:kern w:val="0"/>
                                </w:rPr>
                                <w:br/>
                                <w:t xml:space="preserve">　　本法未規定者，適用其他法律之規定。</w:t>
                              </w:r>
                              <w:r w:rsidRPr="000F7FEC">
                                <w:rPr>
                                  <w:rFonts w:ascii="新細明體" w:hAnsi="新細明體" w:cs="新細明體"/>
                                  <w:kern w:val="0"/>
                                </w:rPr>
                                <w:br/>
                              </w:r>
                              <w:r w:rsidRPr="000F7FEC">
                                <w:rPr>
                                  <w:rFonts w:ascii="新細明體" w:hAnsi="新細明體" w:cs="新細明體"/>
                                  <w:noProof/>
                                  <w:color w:val="0000FF"/>
                                  <w:kern w:val="0"/>
                                </w:rPr>
                                <w:drawing>
                                  <wp:inline distT="0" distB="0" distL="0" distR="0" wp14:anchorId="56B636AD" wp14:editId="275C654A">
                                    <wp:extent cx="790575" cy="255905"/>
                                    <wp:effectExtent l="0" t="0" r="9525" b="0"/>
                                    <wp:docPr id="6" name="圖片 6" descr="https://lis.ly.gov.tw/lglaw/images/relate.pn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lis.ly.gov.tw/lglaw/images/relate.pn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55905"/>
                                            </a:xfrm>
                                            <a:prstGeom prst="rect">
                                              <a:avLst/>
                                            </a:prstGeom>
                                            <a:noFill/>
                                            <a:ln>
                                              <a:noFill/>
                                            </a:ln>
                                          </pic:spPr>
                                        </pic:pic>
                                      </a:graphicData>
                                    </a:graphic>
                                  </wp:inline>
                                </w:drawing>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504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第二條</w:t>
                        </w:r>
                        <w:r w:rsidRPr="000F7FEC">
                          <w:rPr>
                            <w:rFonts w:ascii="新細明體" w:hAnsi="新細明體" w:cs="新細明體"/>
                            <w:kern w:val="0"/>
                          </w:rPr>
                          <w:t> (立法委員關係人之範圍)</w:t>
                        </w:r>
                      </w:p>
                      <w:tbl>
                        <w:tblPr>
                          <w:tblW w:w="0" w:type="auto"/>
                          <w:tblCellSpacing w:w="0" w:type="dxa"/>
                          <w:tblCellMar>
                            <w:left w:w="0" w:type="dxa"/>
                            <w:right w:w="0" w:type="dxa"/>
                          </w:tblCellMar>
                          <w:tblLook w:val="04A0" w:firstRow="1" w:lastRow="0" w:firstColumn="1" w:lastColumn="0" w:noHBand="0" w:noVBand="1"/>
                        </w:tblPr>
                        <w:tblGrid>
                          <w:gridCol w:w="6"/>
                          <w:gridCol w:w="504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本法所稱立法委員關係人，係指下列人員：</w:t>
                              </w:r>
                              <w:r w:rsidRPr="000F7FEC">
                                <w:rPr>
                                  <w:rFonts w:ascii="新細明體" w:hAnsi="新細明體" w:cs="新細明體"/>
                                  <w:kern w:val="0"/>
                                </w:rPr>
                                <w:br/>
                                <w:t xml:space="preserve">　　一、立法委員之配偶及其直系親屬。</w:t>
                              </w:r>
                              <w:r w:rsidRPr="000F7FEC">
                                <w:rPr>
                                  <w:rFonts w:ascii="新細明體" w:hAnsi="新細明體" w:cs="新細明體"/>
                                  <w:kern w:val="0"/>
                                </w:rPr>
                                <w:br/>
                                <w:t xml:space="preserve">　　二、立法委員之公費助理。</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t>第二章 倫理規範</w:t>
                  </w:r>
                </w:p>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第三條</w:t>
                        </w:r>
                        <w:r w:rsidRPr="000F7FEC">
                          <w:rPr>
                            <w:rFonts w:ascii="新細明體" w:hAnsi="新細明體" w:cs="新細明體"/>
                            <w:kern w:val="0"/>
                          </w:rPr>
                          <w:t> (代表人民行使立法權)</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立法委員代表人民依法行使立法權，應恪遵憲法，效忠國家，增進全體人民之最高福祉。</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第四條</w:t>
                        </w:r>
                        <w:r w:rsidRPr="000F7FEC">
                          <w:rPr>
                            <w:rFonts w:ascii="新細明體" w:hAnsi="新細明體" w:cs="新細明體"/>
                            <w:kern w:val="0"/>
                          </w:rPr>
                          <w:t> (貫徹政治倫理及擔負政治責任)</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立法委員應努力貫徹值得國民信賴之政治倫理。如有違反公共利益及公平正義原則，應以誠摯態度面對民眾，勇於擔負政治責任。</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第五條</w:t>
                        </w:r>
                        <w:r w:rsidRPr="000F7FEC">
                          <w:rPr>
                            <w:rFonts w:ascii="新細明體" w:hAnsi="新細明體" w:cs="新細明體"/>
                            <w:kern w:val="0"/>
                          </w:rPr>
                          <w:t> (從事政治活動應公正議事)</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立法委員從事政治活動，應符合國民期待，公正議事，善盡職責，不損及公共利益，不追求私利。</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504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第六條</w:t>
                        </w:r>
                        <w:r w:rsidRPr="000F7FEC">
                          <w:rPr>
                            <w:rFonts w:ascii="新細明體" w:hAnsi="新細明體" w:cs="新細明體"/>
                            <w:kern w:val="0"/>
                          </w:rPr>
                          <w:t> (遵守決議)</w:t>
                        </w:r>
                      </w:p>
                      <w:tbl>
                        <w:tblPr>
                          <w:tblW w:w="0" w:type="auto"/>
                          <w:tblCellSpacing w:w="0" w:type="dxa"/>
                          <w:tblCellMar>
                            <w:left w:w="0" w:type="dxa"/>
                            <w:right w:w="0" w:type="dxa"/>
                          </w:tblCellMar>
                          <w:tblLook w:val="04A0" w:firstRow="1" w:lastRow="0" w:firstColumn="1" w:lastColumn="0" w:noHBand="0" w:noVBand="1"/>
                        </w:tblPr>
                        <w:tblGrid>
                          <w:gridCol w:w="6"/>
                          <w:gridCol w:w="504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立法委員對院會通過之決議，應切實遵守。</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第七條</w:t>
                        </w:r>
                        <w:r w:rsidRPr="000F7FEC">
                          <w:rPr>
                            <w:rFonts w:ascii="新細明體" w:hAnsi="新細明體" w:cs="新細明體"/>
                            <w:kern w:val="0"/>
                          </w:rPr>
                          <w:t> (立法委員問政不得有之行為)</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立法委員應秉持理性問政，共同維護議場及會議室秩序，不得有下列行為：</w:t>
                              </w:r>
                              <w:r w:rsidRPr="000F7FEC">
                                <w:rPr>
                                  <w:rFonts w:ascii="新細明體" w:hAnsi="新細明體" w:cs="新細明體"/>
                                  <w:kern w:val="0"/>
                                </w:rPr>
                                <w:br/>
                                <w:t xml:space="preserve">　　一、不遵守主席依規定所作之裁示。</w:t>
                              </w:r>
                              <w:r w:rsidRPr="000F7FEC">
                                <w:rPr>
                                  <w:rFonts w:ascii="新細明體" w:hAnsi="新細明體" w:cs="新細明體"/>
                                  <w:kern w:val="0"/>
                                </w:rPr>
                                <w:br/>
                                <w:t xml:space="preserve">　　二、辱罵或涉及人身攻擊之言詞。</w:t>
                              </w:r>
                              <w:r w:rsidRPr="000F7FEC">
                                <w:rPr>
                                  <w:rFonts w:ascii="新細明體" w:hAnsi="新細明體" w:cs="新細明體"/>
                                  <w:kern w:val="0"/>
                                </w:rPr>
                                <w:br/>
                                <w:t xml:space="preserve">　　三、發言超過時間，不聽主席制止。</w:t>
                              </w:r>
                              <w:r w:rsidRPr="000F7FEC">
                                <w:rPr>
                                  <w:rFonts w:ascii="新細明體" w:hAnsi="新細明體" w:cs="新細明體"/>
                                  <w:kern w:val="0"/>
                                </w:rPr>
                                <w:br/>
                                <w:t xml:space="preserve">　　四、未得主席同意，</w:t>
                              </w:r>
                              <w:proofErr w:type="gramStart"/>
                              <w:r w:rsidRPr="000F7FEC">
                                <w:rPr>
                                  <w:rFonts w:ascii="新細明體" w:hAnsi="新細明體" w:cs="新細明體"/>
                                  <w:kern w:val="0"/>
                                </w:rPr>
                                <w:t>插言干擾</w:t>
                              </w:r>
                              <w:proofErr w:type="gramEnd"/>
                              <w:r w:rsidRPr="000F7FEC">
                                <w:rPr>
                                  <w:rFonts w:ascii="新細明體" w:hAnsi="新細明體" w:cs="新細明體"/>
                                  <w:kern w:val="0"/>
                                </w:rPr>
                                <w:t>他人發言而不聽制止。</w:t>
                              </w:r>
                              <w:r w:rsidRPr="000F7FEC">
                                <w:rPr>
                                  <w:rFonts w:ascii="新細明體" w:hAnsi="新細明體" w:cs="新細明體"/>
                                  <w:kern w:val="0"/>
                                </w:rPr>
                                <w:br/>
                                <w:t xml:space="preserve">　　五、破壞公物或暴力之肢體動作。</w:t>
                              </w:r>
                              <w:r w:rsidRPr="000F7FEC">
                                <w:rPr>
                                  <w:rFonts w:ascii="新細明體" w:hAnsi="新細明體" w:cs="新細明體"/>
                                  <w:kern w:val="0"/>
                                </w:rPr>
                                <w:br/>
                                <w:t xml:space="preserve">　　六、佔據主席台或阻撓議事之進行。</w:t>
                              </w:r>
                              <w:r w:rsidRPr="000F7FEC">
                                <w:rPr>
                                  <w:rFonts w:ascii="新細明體" w:hAnsi="新細明體" w:cs="新細明體"/>
                                  <w:kern w:val="0"/>
                                </w:rPr>
                                <w:br/>
                                <w:t xml:space="preserve">　　七、脅迫他人為議事之作為或不作為。</w:t>
                              </w:r>
                              <w:r w:rsidRPr="000F7FEC">
                                <w:rPr>
                                  <w:rFonts w:ascii="新細明體" w:hAnsi="新細明體" w:cs="新細明體"/>
                                  <w:kern w:val="0"/>
                                </w:rPr>
                                <w:br/>
                                <w:t xml:space="preserve">　　八、攜入危險物品。</w:t>
                              </w:r>
                              <w:r w:rsidRPr="000F7FEC">
                                <w:rPr>
                                  <w:rFonts w:ascii="新細明體" w:hAnsi="新細明體" w:cs="新細明體"/>
                                  <w:kern w:val="0"/>
                                </w:rPr>
                                <w:br/>
                              </w:r>
                              <w:r w:rsidRPr="000F7FEC">
                                <w:rPr>
                                  <w:rFonts w:ascii="新細明體" w:hAnsi="新細明體" w:cs="新細明體"/>
                                  <w:kern w:val="0"/>
                                </w:rPr>
                                <w:lastRenderedPageBreak/>
                                <w:t xml:space="preserve">　　九、對依法行使職權議事人員做不當之要求或干擾。</w:t>
                              </w:r>
                              <w:r w:rsidRPr="000F7FEC">
                                <w:rPr>
                                  <w:rFonts w:ascii="新細明體" w:hAnsi="新細明體" w:cs="新細明體"/>
                                  <w:kern w:val="0"/>
                                </w:rPr>
                                <w:br/>
                                <w:t xml:space="preserve">　　十、其他違反委員應共同遵守之規章。</w:t>
                              </w:r>
                              <w:r w:rsidRPr="000F7FEC">
                                <w:rPr>
                                  <w:rFonts w:ascii="新細明體" w:hAnsi="新細明體" w:cs="新細明體"/>
                                  <w:kern w:val="0"/>
                                </w:rPr>
                                <w:br/>
                                <w:t xml:space="preserve">　　違反前項各款情事之</w:t>
                              </w:r>
                              <w:proofErr w:type="gramStart"/>
                              <w:r w:rsidRPr="000F7FEC">
                                <w:rPr>
                                  <w:rFonts w:ascii="新細明體" w:hAnsi="新細明體" w:cs="新細明體"/>
                                  <w:kern w:val="0"/>
                                </w:rPr>
                                <w:t>一</w:t>
                              </w:r>
                              <w:proofErr w:type="gramEnd"/>
                              <w:r w:rsidRPr="000F7FEC">
                                <w:rPr>
                                  <w:rFonts w:ascii="新細明體" w:hAnsi="新細明體" w:cs="新細明體"/>
                                  <w:kern w:val="0"/>
                                </w:rPr>
                                <w:t>者，主席得交紀律委員會議處。</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lastRenderedPageBreak/>
                    <w:t>第三章 義務與基本權益</w:t>
                  </w:r>
                </w:p>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第八條</w:t>
                        </w:r>
                        <w:r w:rsidRPr="000F7FEC">
                          <w:rPr>
                            <w:rFonts w:ascii="新細明體" w:hAnsi="新細明體" w:cs="新細明體"/>
                            <w:kern w:val="0"/>
                          </w:rPr>
                          <w:t> (公開宣誓才得行使職權)</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立法委員應依法公開宣誓，並遵守誓詞，未經依法宣誓者，不得行使職權。</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552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第九條</w:t>
                        </w:r>
                        <w:r w:rsidRPr="000F7FEC">
                          <w:rPr>
                            <w:rFonts w:ascii="新細明體" w:hAnsi="新細明體" w:cs="新細明體"/>
                            <w:kern w:val="0"/>
                          </w:rPr>
                          <w:t> (主席應嚴守中立)</w:t>
                        </w:r>
                      </w:p>
                      <w:tbl>
                        <w:tblPr>
                          <w:tblW w:w="0" w:type="auto"/>
                          <w:tblCellSpacing w:w="0" w:type="dxa"/>
                          <w:tblCellMar>
                            <w:left w:w="0" w:type="dxa"/>
                            <w:right w:w="0" w:type="dxa"/>
                          </w:tblCellMar>
                          <w:tblLook w:val="04A0" w:firstRow="1" w:lastRow="0" w:firstColumn="1" w:lastColumn="0" w:noHBand="0" w:noVBand="1"/>
                        </w:tblPr>
                        <w:tblGrid>
                          <w:gridCol w:w="6"/>
                          <w:gridCol w:w="552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院會及委員會之會議主席主持會議應嚴守中立。</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第十條</w:t>
                        </w:r>
                        <w:r w:rsidRPr="000F7FEC">
                          <w:rPr>
                            <w:rFonts w:ascii="新細明體" w:hAnsi="新細明體" w:cs="新細明體"/>
                            <w:kern w:val="0"/>
                          </w:rPr>
                          <w:t> (參加秘密會議不得洩露)</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立法委員依法參加秘密會議時，對其所知悉之事項及會議決議，不得以任何方式，對外洩漏。</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480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第十一條</w:t>
                        </w:r>
                        <w:r w:rsidRPr="000F7FEC">
                          <w:rPr>
                            <w:rFonts w:ascii="新細明體" w:hAnsi="新細明體" w:cs="新細明體"/>
                            <w:kern w:val="0"/>
                          </w:rPr>
                          <w:t> (不得兼任公營事業職務)</w:t>
                        </w:r>
                      </w:p>
                      <w:tbl>
                        <w:tblPr>
                          <w:tblW w:w="0" w:type="auto"/>
                          <w:tblCellSpacing w:w="0" w:type="dxa"/>
                          <w:tblCellMar>
                            <w:left w:w="0" w:type="dxa"/>
                            <w:right w:w="0" w:type="dxa"/>
                          </w:tblCellMar>
                          <w:tblLook w:val="04A0" w:firstRow="1" w:lastRow="0" w:firstColumn="1" w:lastColumn="0" w:noHBand="0" w:noVBand="1"/>
                        </w:tblPr>
                        <w:tblGrid>
                          <w:gridCol w:w="6"/>
                          <w:gridCol w:w="48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立法委員不得兼任公營事業機構之職務。</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第十二條</w:t>
                        </w:r>
                        <w:r w:rsidRPr="000F7FEC">
                          <w:rPr>
                            <w:rFonts w:ascii="新細明體" w:hAnsi="新細明體" w:cs="新細明體"/>
                            <w:kern w:val="0"/>
                          </w:rPr>
                          <w:t> (免責權)</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立法委員在院內依法行使職權所為之議事行為，依憲法規定，享有免責權。</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576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第十三條</w:t>
                        </w:r>
                        <w:r w:rsidRPr="000F7FEC">
                          <w:rPr>
                            <w:rFonts w:ascii="新細明體" w:hAnsi="新細明體" w:cs="新細明體"/>
                            <w:kern w:val="0"/>
                          </w:rPr>
                          <w:t> (待遇支給)</w:t>
                        </w:r>
                      </w:p>
                      <w:tbl>
                        <w:tblPr>
                          <w:tblW w:w="0" w:type="auto"/>
                          <w:tblCellSpacing w:w="0" w:type="dxa"/>
                          <w:tblCellMar>
                            <w:left w:w="0" w:type="dxa"/>
                            <w:right w:w="0" w:type="dxa"/>
                          </w:tblCellMar>
                          <w:tblLook w:val="04A0" w:firstRow="1" w:lastRow="0" w:firstColumn="1" w:lastColumn="0" w:noHBand="0" w:noVBand="1"/>
                        </w:tblPr>
                        <w:tblGrid>
                          <w:gridCol w:w="6"/>
                          <w:gridCol w:w="576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立法委員待遇之支給，比照中央部會首長之標準。</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第十四條</w:t>
                        </w:r>
                        <w:r w:rsidRPr="000F7FEC">
                          <w:rPr>
                            <w:rFonts w:ascii="新細明體" w:hAnsi="新細明體" w:cs="新細明體"/>
                            <w:kern w:val="0"/>
                          </w:rPr>
                          <w:t> (保護)</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立法委員因行使職權，而受他人強暴、脅迫或恐嚇，致其本人或關係人之生命、身體、自由、名譽或財產受有危害之虞時，得通知治安機關予以保護，治安機關亦應主動予以保護。</w:t>
                              </w:r>
                              <w:r w:rsidRPr="000F7FEC">
                                <w:rPr>
                                  <w:rFonts w:ascii="新細明體" w:hAnsi="新細明體" w:cs="新細明體"/>
                                  <w:kern w:val="0"/>
                                </w:rPr>
                                <w:br/>
                                <w:t xml:space="preserve">　　前項保護辦法，由行政院會同立法院定之。</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t>第四章 遊說及政治捐獻</w:t>
                  </w:r>
                </w:p>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第十五條</w:t>
                        </w:r>
                        <w:r w:rsidRPr="000F7FEC">
                          <w:rPr>
                            <w:rFonts w:ascii="新細明體" w:hAnsi="新細明體" w:cs="新細明體"/>
                            <w:kern w:val="0"/>
                          </w:rPr>
                          <w:t> (政府遊說及人民遊說)</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立法委員受託對政府遊說或接受人民遊說，在遊說法制定前，依本法之規定。</w:t>
                              </w:r>
                              <w:r w:rsidRPr="000F7FEC">
                                <w:rPr>
                                  <w:rFonts w:ascii="新細明體" w:hAnsi="新細明體" w:cs="新細明體"/>
                                  <w:kern w:val="0"/>
                                </w:rPr>
                                <w:br/>
                                <w:t xml:space="preserve">　　前項所稱對政府遊說，指為影響政府機關或公營事業決策或處分之作成、修正、變更或廢止所從事之任何與政府機關或公營事業人員之直接或間接接觸及活動；所稱接受人民遊說，指人民為影響法律案、預算案或其他議案之審議所從事之任何與立法委員之直接或間接接觸及活動。</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第十六條</w:t>
                        </w:r>
                        <w:r w:rsidRPr="000F7FEC">
                          <w:rPr>
                            <w:rFonts w:ascii="新細明體" w:hAnsi="新細明體" w:cs="新細明體"/>
                            <w:kern w:val="0"/>
                          </w:rPr>
                          <w:t> (受託遊說不得涉及利益授受)</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立法委員受託對政府遊說或接受人民遊說，不得涉及財產上利益之期約或授受。</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576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第十七條</w:t>
                        </w:r>
                        <w:r w:rsidRPr="000F7FEC">
                          <w:rPr>
                            <w:rFonts w:ascii="新細明體" w:hAnsi="新細明體" w:cs="新細明體"/>
                            <w:kern w:val="0"/>
                          </w:rPr>
                          <w:t> (司法案件受託遊說之禁止)</w:t>
                        </w:r>
                      </w:p>
                      <w:tbl>
                        <w:tblPr>
                          <w:tblW w:w="0" w:type="auto"/>
                          <w:tblCellSpacing w:w="0" w:type="dxa"/>
                          <w:tblCellMar>
                            <w:left w:w="0" w:type="dxa"/>
                            <w:right w:w="0" w:type="dxa"/>
                          </w:tblCellMar>
                          <w:tblLook w:val="04A0" w:firstRow="1" w:lastRow="0" w:firstColumn="1" w:lastColumn="0" w:noHBand="0" w:noVBand="1"/>
                        </w:tblPr>
                        <w:tblGrid>
                          <w:gridCol w:w="6"/>
                          <w:gridCol w:w="576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立法委員不得受託對進行中之司法案件進行遊說。</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480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第十八條</w:t>
                        </w:r>
                        <w:r w:rsidRPr="000F7FEC">
                          <w:rPr>
                            <w:rFonts w:ascii="新細明體" w:hAnsi="新細明體" w:cs="新細明體"/>
                            <w:kern w:val="0"/>
                          </w:rPr>
                          <w:t> (政治捐獻)</w:t>
                        </w:r>
                      </w:p>
                      <w:tbl>
                        <w:tblPr>
                          <w:tblW w:w="0" w:type="auto"/>
                          <w:tblCellSpacing w:w="0" w:type="dxa"/>
                          <w:tblCellMar>
                            <w:left w:w="0" w:type="dxa"/>
                            <w:right w:w="0" w:type="dxa"/>
                          </w:tblCellMar>
                          <w:tblLook w:val="04A0" w:firstRow="1" w:lastRow="0" w:firstColumn="1" w:lastColumn="0" w:noHBand="0" w:noVBand="1"/>
                        </w:tblPr>
                        <w:tblGrid>
                          <w:gridCol w:w="6"/>
                          <w:gridCol w:w="48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立法委員非依法律，不得收受政治捐獻。</w:t>
                              </w:r>
                              <w:r w:rsidRPr="000F7FEC">
                                <w:rPr>
                                  <w:rFonts w:ascii="新細明體" w:hAnsi="新細明體" w:cs="新細明體"/>
                                  <w:kern w:val="0"/>
                                </w:rPr>
                                <w:br/>
                              </w:r>
                              <w:r w:rsidRPr="000F7FEC">
                                <w:rPr>
                                  <w:rFonts w:ascii="新細明體" w:hAnsi="新細明體" w:cs="新細明體"/>
                                  <w:kern w:val="0"/>
                                </w:rPr>
                                <w:lastRenderedPageBreak/>
                                <w:t xml:space="preserve">　　立法委員收受政治捐獻，另以法律定之。</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lastRenderedPageBreak/>
                    <w:t>第五章 利益之迴避</w:t>
                  </w:r>
                </w:p>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第十九條</w:t>
                        </w:r>
                        <w:r w:rsidRPr="000F7FEC">
                          <w:rPr>
                            <w:rFonts w:ascii="新細明體" w:hAnsi="新細明體" w:cs="新細明體"/>
                            <w:kern w:val="0"/>
                          </w:rPr>
                          <w:t> (利益之定義)</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本章所稱之利益，係指立法委員行使職權不當增加其本人或其關係人金錢、物品或其他財產上之價值。</w:t>
                              </w:r>
                              <w:r w:rsidRPr="000F7FEC">
                                <w:rPr>
                                  <w:rFonts w:ascii="新細明體" w:hAnsi="新細明體" w:cs="新細明體"/>
                                  <w:kern w:val="0"/>
                                </w:rPr>
                                <w:br/>
                              </w:r>
                              <w:r w:rsidRPr="000F7FEC">
                                <w:rPr>
                                  <w:rFonts w:ascii="新細明體" w:hAnsi="新細明體" w:cs="新細明體"/>
                                  <w:noProof/>
                                  <w:color w:val="0000FF"/>
                                  <w:kern w:val="0"/>
                                </w:rPr>
                                <w:drawing>
                                  <wp:inline distT="0" distB="0" distL="0" distR="0" wp14:anchorId="481FB0F4" wp14:editId="02D452B1">
                                    <wp:extent cx="790575" cy="255905"/>
                                    <wp:effectExtent l="0" t="0" r="9525" b="0"/>
                                    <wp:docPr id="7" name="圖片 7" descr="https://lis.ly.gov.tw/lglaw/images/relate.pn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lis.ly.gov.tw/lglaw/images/relate.png">
                                              <a:hlinkClick r:id="rId7"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55905"/>
                                            </a:xfrm>
                                            <a:prstGeom prst="rect">
                                              <a:avLst/>
                                            </a:prstGeom>
                                            <a:noFill/>
                                            <a:ln>
                                              <a:noFill/>
                                            </a:ln>
                                          </pic:spPr>
                                        </pic:pic>
                                      </a:graphicData>
                                    </a:graphic>
                                  </wp:inline>
                                </w:drawing>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第二十條</w:t>
                        </w:r>
                        <w:r w:rsidRPr="000F7FEC">
                          <w:rPr>
                            <w:rFonts w:ascii="新細明體" w:hAnsi="新細明體" w:cs="新細明體"/>
                            <w:kern w:val="0"/>
                          </w:rPr>
                          <w:t> (利益迴避原則)</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立法委員行使職權所牽涉或辦理之事務，因其作為獲取前條所規定之利益者，應行迴避。</w:t>
                              </w:r>
                              <w:r w:rsidRPr="000F7FEC">
                                <w:rPr>
                                  <w:rFonts w:ascii="新細明體" w:hAnsi="新細明體" w:cs="新細明體"/>
                                  <w:kern w:val="0"/>
                                </w:rPr>
                                <w:br/>
                              </w:r>
                              <w:r w:rsidRPr="000F7FEC">
                                <w:rPr>
                                  <w:rFonts w:ascii="新細明體" w:hAnsi="新細明體" w:cs="新細明體"/>
                                  <w:noProof/>
                                  <w:color w:val="0000FF"/>
                                  <w:kern w:val="0"/>
                                </w:rPr>
                                <w:drawing>
                                  <wp:inline distT="0" distB="0" distL="0" distR="0" wp14:anchorId="52F86F65" wp14:editId="1FD6675C">
                                    <wp:extent cx="790575" cy="255905"/>
                                    <wp:effectExtent l="0" t="0" r="9525" b="0"/>
                                    <wp:docPr id="8" name="圖片 8" descr="https://lis.ly.gov.tw/lglaw/images/relate.png">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lis.ly.gov.tw/lglaw/images/relate.png">
                                              <a:hlinkClick r:id="rId8"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55905"/>
                                            </a:xfrm>
                                            <a:prstGeom prst="rect">
                                              <a:avLst/>
                                            </a:prstGeom>
                                            <a:noFill/>
                                            <a:ln>
                                              <a:noFill/>
                                            </a:ln>
                                          </pic:spPr>
                                        </pic:pic>
                                      </a:graphicData>
                                    </a:graphic>
                                  </wp:inline>
                                </w:drawing>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第二十一條</w:t>
                        </w:r>
                        <w:r w:rsidRPr="000F7FEC">
                          <w:rPr>
                            <w:rFonts w:ascii="新細明體" w:hAnsi="新細明體" w:cs="新細明體"/>
                            <w:kern w:val="0"/>
                          </w:rPr>
                          <w:t> (私人承諾或差別對待之禁止)</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立法委員行使職權時，不得為私人承諾，或給予特定個人或團體任何差別對待。</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744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第二十二條</w:t>
                        </w:r>
                        <w:r w:rsidRPr="000F7FEC">
                          <w:rPr>
                            <w:rFonts w:ascii="新細明體" w:hAnsi="新細明體" w:cs="新細明體"/>
                            <w:kern w:val="0"/>
                          </w:rPr>
                          <w:t> (迴避審議及表決)</w:t>
                        </w:r>
                      </w:p>
                      <w:tbl>
                        <w:tblPr>
                          <w:tblW w:w="0" w:type="auto"/>
                          <w:tblCellSpacing w:w="0" w:type="dxa"/>
                          <w:tblCellMar>
                            <w:left w:w="0" w:type="dxa"/>
                            <w:right w:w="0" w:type="dxa"/>
                          </w:tblCellMar>
                          <w:tblLook w:val="04A0" w:firstRow="1" w:lastRow="0" w:firstColumn="1" w:lastColumn="0" w:noHBand="0" w:noVBand="1"/>
                        </w:tblPr>
                        <w:tblGrid>
                          <w:gridCol w:w="6"/>
                          <w:gridCol w:w="744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立法委員行使職權就有利益迴避情事之議案，應迴避審議及表決。</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第二十三條</w:t>
                        </w:r>
                        <w:r w:rsidRPr="000F7FEC">
                          <w:rPr>
                            <w:rFonts w:ascii="新細明體" w:hAnsi="新細明體" w:cs="新細明體"/>
                            <w:kern w:val="0"/>
                          </w:rPr>
                          <w:t> (委員受利益迴避舉發)</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立法委員應行迴避而</w:t>
                              </w:r>
                              <w:proofErr w:type="gramStart"/>
                              <w:r w:rsidRPr="000F7FEC">
                                <w:rPr>
                                  <w:rFonts w:ascii="新細明體" w:hAnsi="新細明體" w:cs="新細明體"/>
                                  <w:kern w:val="0"/>
                                </w:rPr>
                                <w:t>不</w:t>
                              </w:r>
                              <w:proofErr w:type="gramEnd"/>
                              <w:r w:rsidRPr="000F7FEC">
                                <w:rPr>
                                  <w:rFonts w:ascii="新細明體" w:hAnsi="新細明體" w:cs="新細明體"/>
                                  <w:kern w:val="0"/>
                                </w:rPr>
                                <w:t>迴避時，利害關係人得向立法院紀律委員會舉發；紀律委員會亦得主動調查，若調查屬實者，得請其迴避。</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16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第二十四條</w:t>
                        </w:r>
                        <w:r w:rsidRPr="000F7FEC">
                          <w:rPr>
                            <w:rFonts w:ascii="新細明體" w:hAnsi="新細明體" w:cs="新細明體"/>
                            <w:kern w:val="0"/>
                          </w:rPr>
                          <w:t> (委員關於利益迴避情事之說明)</w:t>
                        </w:r>
                      </w:p>
                      <w:tbl>
                        <w:tblPr>
                          <w:tblW w:w="0" w:type="auto"/>
                          <w:tblCellSpacing w:w="0" w:type="dxa"/>
                          <w:tblCellMar>
                            <w:left w:w="0" w:type="dxa"/>
                            <w:right w:w="0" w:type="dxa"/>
                          </w:tblCellMar>
                          <w:tblLook w:val="04A0" w:firstRow="1" w:lastRow="0" w:firstColumn="1" w:lastColumn="0" w:noHBand="0" w:noVBand="1"/>
                        </w:tblPr>
                        <w:tblGrid>
                          <w:gridCol w:w="6"/>
                          <w:gridCol w:w="816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立法院紀律委員會處理有關利益迴避情事時，應要求立法委員列席說明。</w:t>
                              </w:r>
                              <w:r w:rsidRPr="000F7FEC">
                                <w:rPr>
                                  <w:rFonts w:ascii="新細明體" w:hAnsi="新細明體" w:cs="新細明體"/>
                                  <w:kern w:val="0"/>
                                </w:rPr>
                                <w:br/>
                                <w:t xml:space="preserve">　　立法委員亦得主動向紀律委員會提出說明。</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t>第六章 紀律</w:t>
                  </w:r>
                </w:p>
                <w:tbl>
                  <w:tblPr>
                    <w:tblW w:w="0" w:type="auto"/>
                    <w:tblCellSpacing w:w="0" w:type="dxa"/>
                    <w:tblCellMar>
                      <w:left w:w="0" w:type="dxa"/>
                      <w:right w:w="0" w:type="dxa"/>
                    </w:tblCellMar>
                    <w:tblLook w:val="04A0" w:firstRow="1" w:lastRow="0" w:firstColumn="1" w:lastColumn="0" w:noHBand="0" w:noVBand="1"/>
                  </w:tblPr>
                  <w:tblGrid>
                    <w:gridCol w:w="6"/>
                    <w:gridCol w:w="528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第二十五條</w:t>
                        </w:r>
                        <w:r w:rsidRPr="000F7FEC">
                          <w:rPr>
                            <w:rFonts w:ascii="新細明體" w:hAnsi="新細明體" w:cs="新細明體"/>
                            <w:kern w:val="0"/>
                          </w:rPr>
                          <w:t> (審議懲戒案)</w:t>
                        </w:r>
                      </w:p>
                      <w:tbl>
                        <w:tblPr>
                          <w:tblW w:w="0" w:type="auto"/>
                          <w:tblCellSpacing w:w="0" w:type="dxa"/>
                          <w:tblCellMar>
                            <w:left w:w="0" w:type="dxa"/>
                            <w:right w:w="0" w:type="dxa"/>
                          </w:tblCellMar>
                          <w:tblLook w:val="04A0" w:firstRow="1" w:lastRow="0" w:firstColumn="1" w:lastColumn="0" w:noHBand="0" w:noVBand="1"/>
                        </w:tblPr>
                        <w:tblGrid>
                          <w:gridCol w:w="6"/>
                          <w:gridCol w:w="528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立法院紀律委員會審議本法所規定之懲戒案。</w:t>
                              </w:r>
                              <w:r w:rsidRPr="000F7FEC">
                                <w:rPr>
                                  <w:rFonts w:ascii="新細明體" w:hAnsi="新細明體" w:cs="新細明體"/>
                                  <w:kern w:val="0"/>
                                </w:rPr>
                                <w:br/>
                                <w:t xml:space="preserve">　　紀律委員會召集委員按月輪值。</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16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第二十六條</w:t>
                        </w:r>
                        <w:r w:rsidRPr="000F7FEC">
                          <w:rPr>
                            <w:rFonts w:ascii="新細明體" w:hAnsi="新細明體" w:cs="新細明體"/>
                            <w:kern w:val="0"/>
                          </w:rPr>
                          <w:t> (被移付懲戒委員得提出說明)</w:t>
                        </w:r>
                      </w:p>
                      <w:tbl>
                        <w:tblPr>
                          <w:tblW w:w="0" w:type="auto"/>
                          <w:tblCellSpacing w:w="0" w:type="dxa"/>
                          <w:tblCellMar>
                            <w:left w:w="0" w:type="dxa"/>
                            <w:right w:w="0" w:type="dxa"/>
                          </w:tblCellMar>
                          <w:tblLook w:val="04A0" w:firstRow="1" w:lastRow="0" w:firstColumn="1" w:lastColumn="0" w:noHBand="0" w:noVBand="1"/>
                        </w:tblPr>
                        <w:tblGrid>
                          <w:gridCol w:w="6"/>
                          <w:gridCol w:w="816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立法院紀律委員會審議懲戒案件時，被移付懲戒之立法委員得提出說明。</w:t>
                              </w:r>
                              <w:r w:rsidRPr="000F7FEC">
                                <w:rPr>
                                  <w:rFonts w:ascii="新細明體" w:hAnsi="新細明體" w:cs="新細明體"/>
                                  <w:kern w:val="0"/>
                                </w:rPr>
                                <w:br/>
                                <w:t xml:space="preserve">　　紀律委員會委員對關係其個人本身之懲戒案，應自行迴避。</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第二十七條</w:t>
                        </w:r>
                        <w:r w:rsidRPr="000F7FEC">
                          <w:rPr>
                            <w:rFonts w:ascii="新細明體" w:hAnsi="新細明體" w:cs="新細明體"/>
                            <w:kern w:val="0"/>
                          </w:rPr>
                          <w:t> (紀律委員會處理事項)</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立法院紀律委員會應每月定期開會一次，必要時得召開臨時會議，處理下列事項：</w:t>
                              </w:r>
                              <w:r w:rsidRPr="000F7FEC">
                                <w:rPr>
                                  <w:rFonts w:ascii="新細明體" w:hAnsi="新細明體" w:cs="新細明體"/>
                                  <w:kern w:val="0"/>
                                </w:rPr>
                                <w:br/>
                                <w:t xml:space="preserve">　　一、院會主席裁示交付之懲戒案件。</w:t>
                              </w:r>
                              <w:r w:rsidRPr="000F7FEC">
                                <w:rPr>
                                  <w:rFonts w:ascii="新細明體" w:hAnsi="新細明體" w:cs="新細明體"/>
                                  <w:kern w:val="0"/>
                                </w:rPr>
                                <w:br/>
                                <w:t xml:space="preserve">　　二、院會議決交付之懲戒案件。</w:t>
                              </w:r>
                              <w:r w:rsidRPr="000F7FEC">
                                <w:rPr>
                                  <w:rFonts w:ascii="新細明體" w:hAnsi="新細明體" w:cs="新細明體"/>
                                  <w:kern w:val="0"/>
                                </w:rPr>
                                <w:br/>
                                <w:t xml:space="preserve">　　三、委員會主席裁決移送院會議決交付之懲戒案件。</w:t>
                              </w:r>
                              <w:r w:rsidRPr="000F7FEC">
                                <w:rPr>
                                  <w:rFonts w:ascii="新細明體" w:hAnsi="新細明體" w:cs="新細明體"/>
                                  <w:kern w:val="0"/>
                                </w:rPr>
                                <w:br/>
                              </w:r>
                              <w:r w:rsidRPr="000F7FEC">
                                <w:rPr>
                                  <w:rFonts w:ascii="新細明體" w:hAnsi="新細明體" w:cs="新細明體"/>
                                  <w:kern w:val="0"/>
                                </w:rPr>
                                <w:lastRenderedPageBreak/>
                                <w:t xml:space="preserve">　　紀律委員會召集委員或委員不依前項規定開會處理懲戒案件者，應停止其出席院會四次；本項之處分，報告院會即生效。</w:t>
                              </w:r>
                              <w:r w:rsidRPr="000F7FEC">
                                <w:rPr>
                                  <w:rFonts w:ascii="新細明體" w:hAnsi="新細明體" w:cs="新細明體"/>
                                  <w:kern w:val="0"/>
                                </w:rPr>
                                <w:br/>
                              </w:r>
                              <w:r w:rsidRPr="000F7FEC">
                                <w:rPr>
                                  <w:rFonts w:ascii="新細明體" w:hAnsi="新細明體" w:cs="新細明體"/>
                                  <w:noProof/>
                                  <w:color w:val="0000FF"/>
                                  <w:kern w:val="0"/>
                                </w:rPr>
                                <w:drawing>
                                  <wp:inline distT="0" distB="0" distL="0" distR="0" wp14:anchorId="3FA7BFD4" wp14:editId="2176F38C">
                                    <wp:extent cx="790575" cy="255905"/>
                                    <wp:effectExtent l="0" t="0" r="9525" b="0"/>
                                    <wp:docPr id="9" name="圖片 9" descr="https://lis.ly.gov.tw/lglaw/images/relate.pn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lis.ly.gov.tw/lglaw/images/relate.png">
                                              <a:hlinkClick r:id="rId9"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55905"/>
                                            </a:xfrm>
                                            <a:prstGeom prst="rect">
                                              <a:avLst/>
                                            </a:prstGeom>
                                            <a:noFill/>
                                            <a:ln>
                                              <a:noFill/>
                                            </a:ln>
                                          </pic:spPr>
                                        </pic:pic>
                                      </a:graphicData>
                                    </a:graphic>
                                  </wp:inline>
                                </w:drawing>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lastRenderedPageBreak/>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第二十八條</w:t>
                        </w:r>
                        <w:r w:rsidRPr="000F7FEC">
                          <w:rPr>
                            <w:rFonts w:ascii="新細明體" w:hAnsi="新細明體" w:cs="新細明體"/>
                            <w:kern w:val="0"/>
                          </w:rPr>
                          <w:t> (懲戒案之處分及停權期間之計算與效力)</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立法院紀律委員會審議懲戒案，得按情節輕重提報院會決定為下列之處分：</w:t>
                              </w:r>
                              <w:r w:rsidRPr="000F7FEC">
                                <w:rPr>
                                  <w:rFonts w:ascii="新細明體" w:hAnsi="新細明體" w:cs="新細明體"/>
                                  <w:kern w:val="0"/>
                                </w:rPr>
                                <w:br/>
                                <w:t xml:space="preserve">　　一、口頭道歉。</w:t>
                              </w:r>
                              <w:r w:rsidRPr="000F7FEC">
                                <w:rPr>
                                  <w:rFonts w:ascii="新細明體" w:hAnsi="新細明體" w:cs="新細明體"/>
                                  <w:kern w:val="0"/>
                                </w:rPr>
                                <w:br/>
                                <w:t xml:space="preserve">　　二、書面道歉。</w:t>
                              </w:r>
                              <w:r w:rsidRPr="000F7FEC">
                                <w:rPr>
                                  <w:rFonts w:ascii="新細明體" w:hAnsi="新細明體" w:cs="新細明體"/>
                                  <w:kern w:val="0"/>
                                </w:rPr>
                                <w:br/>
                                <w:t xml:space="preserve">　　三、停止出席院會四次至八次。</w:t>
                              </w:r>
                              <w:r w:rsidRPr="000F7FEC">
                                <w:rPr>
                                  <w:rFonts w:ascii="新細明體" w:hAnsi="新細明體" w:cs="新細明體"/>
                                  <w:kern w:val="0"/>
                                </w:rPr>
                                <w:br/>
                                <w:t xml:space="preserve">　　四、經出席院會委員三分之二以上同意，得予停權三個月至半年。</w:t>
                              </w:r>
                              <w:r w:rsidRPr="000F7FEC">
                                <w:rPr>
                                  <w:rFonts w:ascii="新細明體" w:hAnsi="新細明體" w:cs="新細明體"/>
                                  <w:kern w:val="0"/>
                                </w:rPr>
                                <w:br/>
                                <w:t xml:space="preserve">　　前項停權期間之計算及效力範圍如下：</w:t>
                              </w:r>
                              <w:r w:rsidRPr="000F7FEC">
                                <w:rPr>
                                  <w:rFonts w:ascii="新細明體" w:hAnsi="新細明體" w:cs="新細明體"/>
                                  <w:kern w:val="0"/>
                                </w:rPr>
                                <w:br/>
                                <w:t xml:space="preserve">　　一、停權期間自院會決定當日起算，不扣除休會及停會期間。</w:t>
                              </w:r>
                              <w:r w:rsidRPr="000F7FEC">
                                <w:rPr>
                                  <w:rFonts w:ascii="新細明體" w:hAnsi="新細明體" w:cs="新細明體"/>
                                  <w:kern w:val="0"/>
                                </w:rPr>
                                <w:br/>
                                <w:t xml:space="preserve">　　二、停權期間禁止進入議場及委員會會議室。</w:t>
                              </w:r>
                              <w:r w:rsidRPr="000F7FEC">
                                <w:rPr>
                                  <w:rFonts w:ascii="新細明體" w:hAnsi="新細明體" w:cs="新細明體"/>
                                  <w:kern w:val="0"/>
                                </w:rPr>
                                <w:br/>
                                <w:t xml:space="preserve">　　三、停權期間停</w:t>
                              </w:r>
                              <w:proofErr w:type="gramStart"/>
                              <w:r w:rsidRPr="000F7FEC">
                                <w:rPr>
                                  <w:rFonts w:ascii="新細明體" w:hAnsi="新細明體" w:cs="新細明體"/>
                                  <w:kern w:val="0"/>
                                </w:rPr>
                                <w:t>發歲費</w:t>
                              </w:r>
                              <w:proofErr w:type="gramEnd"/>
                              <w:r w:rsidRPr="000F7FEC">
                                <w:rPr>
                                  <w:rFonts w:ascii="新細明體" w:hAnsi="新細明體" w:cs="新細明體"/>
                                  <w:kern w:val="0"/>
                                </w:rPr>
                                <w:t>及公費。</w:t>
                              </w:r>
                              <w:r w:rsidRPr="000F7FEC">
                                <w:rPr>
                                  <w:rFonts w:ascii="新細明體" w:hAnsi="新細明體" w:cs="新細明體"/>
                                  <w:kern w:val="0"/>
                                </w:rPr>
                                <w:br/>
                                <w:t xml:space="preserve">　　四、停權期間不得行使專屬於立法委員之選舉權與被選舉權。</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第二十九條</w:t>
                        </w:r>
                        <w:r w:rsidRPr="000F7FEC">
                          <w:rPr>
                            <w:rFonts w:ascii="新細明體" w:hAnsi="新細明體" w:cs="新細明體"/>
                            <w:kern w:val="0"/>
                          </w:rPr>
                          <w:t> (懲戒案審議期限)</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立法院紀律委員會對應行審議之懲戒案，未能於三個月內完成審議並提報院會者，懲戒案不成立。</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830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第三十條</w:t>
                        </w:r>
                        <w:r w:rsidRPr="000F7FEC">
                          <w:rPr>
                            <w:rFonts w:ascii="新細明體" w:hAnsi="新細明體" w:cs="新細明體"/>
                            <w:kern w:val="0"/>
                          </w:rPr>
                          <w:t> (主動調查審議違反本法之委員)</w:t>
                        </w:r>
                      </w:p>
                      <w:tbl>
                        <w:tblPr>
                          <w:tblW w:w="0" w:type="auto"/>
                          <w:tblCellSpacing w:w="0" w:type="dxa"/>
                          <w:tblCellMar>
                            <w:left w:w="0" w:type="dxa"/>
                            <w:right w:w="0" w:type="dxa"/>
                          </w:tblCellMar>
                          <w:tblLook w:val="04A0" w:firstRow="1" w:lastRow="0" w:firstColumn="1" w:lastColumn="0" w:noHBand="0" w:noVBand="1"/>
                        </w:tblPr>
                        <w:tblGrid>
                          <w:gridCol w:w="6"/>
                          <w:gridCol w:w="8294"/>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立法委員違反本法有關規定者，由立法院紀律委員會主動調查、審議，作成處分建議後，提報院會決定之。</w:t>
                              </w:r>
                              <w:r w:rsidRPr="000F7FEC">
                                <w:rPr>
                                  <w:rFonts w:ascii="新細明體" w:hAnsi="新細明體" w:cs="新細明體"/>
                                  <w:kern w:val="0"/>
                                </w:rPr>
                                <w:br/>
                                <w:t xml:space="preserve">　　紀律委員會不依前項規定進行調查、審議者，依第二十七條第二項之規定辦理。</w:t>
                              </w:r>
                              <w:r w:rsidRPr="000F7FEC">
                                <w:rPr>
                                  <w:rFonts w:ascii="新細明體" w:hAnsi="新細明體" w:cs="新細明體"/>
                                  <w:kern w:val="0"/>
                                </w:rPr>
                                <w:br/>
                              </w:r>
                              <w:r w:rsidRPr="000F7FEC">
                                <w:rPr>
                                  <w:rFonts w:ascii="新細明體" w:hAnsi="新細明體" w:cs="新細明體"/>
                                  <w:noProof/>
                                  <w:color w:val="0000FF"/>
                                  <w:kern w:val="0"/>
                                </w:rPr>
                                <w:drawing>
                                  <wp:inline distT="0" distB="0" distL="0" distR="0" wp14:anchorId="22F37918" wp14:editId="71796562">
                                    <wp:extent cx="790575" cy="255905"/>
                                    <wp:effectExtent l="0" t="0" r="9525" b="0"/>
                                    <wp:docPr id="10" name="圖片 10" descr="https://lis.ly.gov.tw/lglaw/images/relate.pn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lis.ly.gov.tw/lglaw/images/relate.png">
                                              <a:hlinkClick r:id="rId10"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55905"/>
                                            </a:xfrm>
                                            <a:prstGeom prst="rect">
                                              <a:avLst/>
                                            </a:prstGeom>
                                            <a:noFill/>
                                            <a:ln>
                                              <a:noFill/>
                                            </a:ln>
                                          </pic:spPr>
                                        </pic:pic>
                                      </a:graphicData>
                                    </a:graphic>
                                  </wp:inline>
                                </w:drawing>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0000FF"/>
                      <w:kern w:val="0"/>
                      <w:sz w:val="36"/>
                      <w:szCs w:val="36"/>
                    </w:rPr>
                    <w:t>第七章 附則</w:t>
                  </w:r>
                </w:p>
                <w:tbl>
                  <w:tblPr>
                    <w:tblW w:w="0" w:type="auto"/>
                    <w:tblCellSpacing w:w="0" w:type="dxa"/>
                    <w:tblCellMar>
                      <w:left w:w="0" w:type="dxa"/>
                      <w:right w:w="0" w:type="dxa"/>
                    </w:tblCellMar>
                    <w:tblLook w:val="04A0" w:firstRow="1" w:lastRow="0" w:firstColumn="1" w:lastColumn="0" w:noHBand="0" w:noVBand="1"/>
                  </w:tblPr>
                  <w:tblGrid>
                    <w:gridCol w:w="6"/>
                    <w:gridCol w:w="2646"/>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color w:val="C000FF"/>
                            <w:kern w:val="0"/>
                          </w:rPr>
                          <w:t>第三十一條</w:t>
                        </w:r>
                        <w:r w:rsidRPr="000F7FEC">
                          <w:rPr>
                            <w:rFonts w:ascii="新細明體" w:hAnsi="新細明體" w:cs="新細明體"/>
                            <w:kern w:val="0"/>
                          </w:rPr>
                          <w:t> (施行日)</w:t>
                        </w:r>
                      </w:p>
                      <w:tbl>
                        <w:tblPr>
                          <w:tblW w:w="0" w:type="auto"/>
                          <w:tblCellSpacing w:w="0" w:type="dxa"/>
                          <w:tblCellMar>
                            <w:left w:w="0" w:type="dxa"/>
                            <w:right w:w="0" w:type="dxa"/>
                          </w:tblCellMar>
                          <w:tblLook w:val="04A0" w:firstRow="1" w:lastRow="0" w:firstColumn="1" w:lastColumn="0" w:noHBand="0" w:noVBand="1"/>
                        </w:tblPr>
                        <w:tblGrid>
                          <w:gridCol w:w="6"/>
                          <w:gridCol w:w="2640"/>
                        </w:tblGrid>
                        <w:tr w:rsidR="000F7FEC" w:rsidRPr="000F7FEC">
                          <w:trPr>
                            <w:tblCellSpacing w:w="0" w:type="dxa"/>
                          </w:trPr>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w:t>
                              </w:r>
                            </w:p>
                          </w:tc>
                          <w:tc>
                            <w:tcPr>
                              <w:tcW w:w="0" w:type="auto"/>
                              <w:vAlign w:val="center"/>
                              <w:hideMark/>
                            </w:tcPr>
                            <w:p w:rsidR="000F7FEC" w:rsidRPr="000F7FEC" w:rsidRDefault="000F7FEC" w:rsidP="000F7FEC">
                              <w:pPr>
                                <w:widowControl/>
                                <w:rPr>
                                  <w:rFonts w:ascii="新細明體" w:hAnsi="新細明體" w:cs="新細明體"/>
                                  <w:kern w:val="0"/>
                                </w:rPr>
                              </w:pPr>
                              <w:r w:rsidRPr="000F7FEC">
                                <w:rPr>
                                  <w:rFonts w:ascii="新細明體" w:hAnsi="新細明體" w:cs="新細明體"/>
                                  <w:kern w:val="0"/>
                                </w:rPr>
                                <w:t xml:space="preserve">　　本法自公布日施行。</w:t>
                              </w: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新細明體" w:hAnsi="新細明體" w:cs="新細明體"/>
                      <w:kern w:val="0"/>
                    </w:rPr>
                  </w:pPr>
                </w:p>
              </w:tc>
            </w:tr>
          </w:tbl>
          <w:p w:rsidR="000F7FEC" w:rsidRPr="000F7FEC" w:rsidRDefault="000F7FEC" w:rsidP="000F7FEC">
            <w:pPr>
              <w:widowControl/>
              <w:rPr>
                <w:rFonts w:ascii="微軟正黑體" w:eastAsia="微軟正黑體" w:hAnsi="微軟正黑體" w:cs="新細明體"/>
                <w:color w:val="333333"/>
                <w:kern w:val="0"/>
              </w:rPr>
            </w:pPr>
          </w:p>
        </w:tc>
      </w:tr>
    </w:tbl>
    <w:p w:rsidR="000F7FEC" w:rsidRPr="000F7FEC" w:rsidRDefault="000F7FEC"/>
    <w:sectPr w:rsidR="000F7FEC" w:rsidRPr="000F7FEC">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微軟正黑體">
    <w:panose1 w:val="020B0604030504040204"/>
    <w:charset w:val="88"/>
    <w:family w:val="swiss"/>
    <w:pitch w:val="variable"/>
    <w:sig w:usb0="00000087" w:usb1="288F4000" w:usb2="00000016" w:usb3="00000000" w:csb0="00100009"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FEC"/>
    <w:rsid w:val="0003298C"/>
    <w:rsid w:val="00044361"/>
    <w:rsid w:val="0006554F"/>
    <w:rsid w:val="000F7FEC"/>
    <w:rsid w:val="002506B5"/>
    <w:rsid w:val="00345FEA"/>
    <w:rsid w:val="00353197"/>
    <w:rsid w:val="00431547"/>
    <w:rsid w:val="00466D6D"/>
    <w:rsid w:val="004C23BA"/>
    <w:rsid w:val="005241BA"/>
    <w:rsid w:val="0055705C"/>
    <w:rsid w:val="006B28DC"/>
    <w:rsid w:val="006C0669"/>
    <w:rsid w:val="00762A92"/>
    <w:rsid w:val="007957F8"/>
    <w:rsid w:val="00A54FC4"/>
    <w:rsid w:val="00A76691"/>
    <w:rsid w:val="00B016DF"/>
    <w:rsid w:val="00BE1208"/>
    <w:rsid w:val="00C03FEB"/>
    <w:rsid w:val="00EE5C48"/>
    <w:rsid w:val="00F771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F7FEC"/>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0F7FEC"/>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F7FEC"/>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0F7FE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065542">
      <w:bodyDiv w:val="1"/>
      <w:marLeft w:val="0"/>
      <w:marRight w:val="0"/>
      <w:marTop w:val="0"/>
      <w:marBottom w:val="0"/>
      <w:divBdr>
        <w:top w:val="none" w:sz="0" w:space="0" w:color="auto"/>
        <w:left w:val="none" w:sz="0" w:space="0" w:color="auto"/>
        <w:bottom w:val="none" w:sz="0" w:space="0" w:color="auto"/>
        <w:right w:val="none" w:sz="0" w:space="0" w:color="auto"/>
      </w:divBdr>
    </w:div>
    <w:div w:id="158263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s.ly.gov.tw/lglawc/lawsingle?00455C58863A000000000000000004600000000A000000%5e04412091011500%5e002000" TargetMode="External"/><Relationship Id="rId3" Type="http://schemas.openxmlformats.org/officeDocument/2006/relationships/settings" Target="settings.xml"/><Relationship Id="rId7" Type="http://schemas.openxmlformats.org/officeDocument/2006/relationships/hyperlink" Target="https://lis.ly.gov.tw/lglawc/lawsingle?00455C58863A000000000000000004600000000A000000%5e04412091011500%5e001900"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lis.ly.gov.tw/lglawc/lawsingle?00455C58863A000000000000000004600000000A000000%5e04412091011500%5e000100" TargetMode="External"/><Relationship Id="rId10" Type="http://schemas.openxmlformats.org/officeDocument/2006/relationships/hyperlink" Target="https://lis.ly.gov.tw/lglawc/lawsingle?00455C58863A000000000000000004600000000A000000%5e04412091011500%5e003000" TargetMode="External"/><Relationship Id="rId4" Type="http://schemas.openxmlformats.org/officeDocument/2006/relationships/webSettings" Target="webSettings.xml"/><Relationship Id="rId9" Type="http://schemas.openxmlformats.org/officeDocument/2006/relationships/hyperlink" Target="https://lis.ly.gov.tw/lglawc/lawsingle?00455C58863A000000000000000004600000000A000000%5e04412091011500%5e002700"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462</Words>
  <Characters>2638</Characters>
  <Application>Microsoft Office Word</Application>
  <DocSecurity>0</DocSecurity>
  <Lines>21</Lines>
  <Paragraphs>6</Paragraphs>
  <ScaleCrop>false</ScaleCrop>
  <Company/>
  <LinksUpToDate>false</LinksUpToDate>
  <CharactersWithSpaces>3094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hp600g1</cp:lastModifiedBy>
  <cp:revision>1</cp:revision>
  <dcterms:created xsi:type="dcterms:W3CDTF">2018-07-31T08:09:00Z</dcterms:created>
  <dcterms:modified xsi:type="dcterms:W3CDTF">2018-07-31T08:10:00Z</dcterms:modified>
</cp:coreProperties>
</file>