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A92" w:rsidRDefault="006E78BA">
      <w:pPr>
        <w:rPr>
          <w:rFonts w:hint="eastAsia"/>
        </w:rPr>
      </w:pPr>
      <w:r w:rsidRPr="006E78BA">
        <w:rPr>
          <w:rFonts w:hint="eastAsia"/>
        </w:rPr>
        <w:t>立法院各委員會組織法</w:t>
      </w:r>
    </w:p>
    <w:p w:rsidR="006E78BA" w:rsidRDefault="006E78BA">
      <w:pPr>
        <w:rPr>
          <w:rFonts w:hint="eastAsia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6E78BA" w:rsidRPr="006E78BA" w:rsidTr="006E78BA">
        <w:trPr>
          <w:tblCellSpacing w:w="0" w:type="dxa"/>
        </w:trPr>
        <w:tc>
          <w:tcPr>
            <w:tcW w:w="0" w:type="auto"/>
            <w:hideMark/>
          </w:tcPr>
          <w:p w:rsidR="006E78BA" w:rsidRPr="006E78BA" w:rsidRDefault="006E78BA" w:rsidP="006E78BA">
            <w:pPr>
              <w:widowControl/>
              <w:rPr>
                <w:rFonts w:ascii="微軟正黑體" w:eastAsia="微軟正黑體" w:hAnsi="微軟正黑體" w:cs="新細明體"/>
                <w:b/>
                <w:bCs/>
                <w:color w:val="2A638E"/>
                <w:kern w:val="0"/>
              </w:rPr>
            </w:pPr>
            <w:r w:rsidRPr="006E78BA">
              <w:rPr>
                <w:rFonts w:ascii="微軟正黑體" w:eastAsia="微軟正黑體" w:hAnsi="微軟正黑體" w:cs="新細明體" w:hint="eastAsia"/>
                <w:b/>
                <w:bCs/>
                <w:color w:val="2A638E"/>
                <w:kern w:val="0"/>
              </w:rPr>
              <w:t>中華民國98年01月13日</w:t>
            </w:r>
          </w:p>
        </w:tc>
      </w:tr>
      <w:tr w:rsidR="006E78BA" w:rsidRPr="006E78BA" w:rsidTr="006E78BA">
        <w:trPr>
          <w:tblCellSpacing w:w="0" w:type="dxa"/>
        </w:trPr>
        <w:tc>
          <w:tcPr>
            <w:tcW w:w="0" w:type="auto"/>
            <w:tcMar>
              <w:top w:w="0" w:type="dxa"/>
              <w:left w:w="0" w:type="dxa"/>
              <w:bottom w:w="150" w:type="dxa"/>
              <w:right w:w="0" w:type="dxa"/>
            </w:tcMar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第一條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(立法依據)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456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本法依立法院組織法第十二條制定之。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</w:r>
                        <w:r w:rsidRPr="006E78BA">
                          <w:rPr>
                            <w:rFonts w:ascii="新細明體" w:hAnsi="新細明體" w:cs="新細明體"/>
                            <w:noProof/>
                            <w:color w:val="0000FF"/>
                            <w:kern w:val="0"/>
                          </w:rPr>
                          <w:drawing>
                            <wp:inline distT="0" distB="0" distL="0" distR="0" wp14:anchorId="5EA8B298" wp14:editId="08D8613E">
                              <wp:extent cx="790575" cy="255905"/>
                              <wp:effectExtent l="0" t="0" r="9525" b="0"/>
                              <wp:docPr id="1" name="圖片 1" descr="https://lis.ly.gov.tw/lglaw/images/relate.png">
                                <a:hlinkClick xmlns:a="http://schemas.openxmlformats.org/drawingml/2006/main" r:id="rId5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https://lis.ly.gov.tw/lglaw/images/relate.png">
                                        <a:hlinkClick r:id="rId5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90575" cy="2559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第二條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(議案及人民請願書之審查)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各委員會審查本院會議交付審查之議案及人民請願書，並得於每會期開始時，邀請相關部會作業務報告，並備質詢。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第三條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(委員會之人數)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672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立法院各委員會席次至少為十三席，最高不得超過十五席。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第三條 之</w:t>
                  </w:r>
                  <w:proofErr w:type="gramStart"/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一</w:t>
                  </w:r>
                  <w:proofErr w:type="gramEnd"/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 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(委員會參加之限制)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432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每一委員以參加</w:t>
                        </w:r>
                        <w:proofErr w:type="gramStart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一</w:t>
                        </w:r>
                        <w:proofErr w:type="gramEnd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委員會為限。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  <w:t xml:space="preserve">　　各委員會於每年首次會期重新組成。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第三條 之二 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(未參加政團委員加入委員會)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未參加黨團或所參加黨團之院會席次比例於各委員會不足分配</w:t>
                        </w:r>
                        <w:proofErr w:type="gramStart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一</w:t>
                        </w:r>
                        <w:proofErr w:type="gramEnd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席次之委員，應抽籤平均參加各委員會；其抽籤辦法另定之。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  <w:t xml:space="preserve">　　前項院會席次，以每屆宣誓就職之委員數計之；如有異動，於每年首次會期開議</w:t>
                        </w:r>
                        <w:proofErr w:type="gramStart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日重計之</w:t>
                        </w:r>
                        <w:proofErr w:type="gramEnd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</w:r>
                        <w:r w:rsidRPr="006E78BA">
                          <w:rPr>
                            <w:rFonts w:ascii="新細明體" w:hAnsi="新細明體" w:cs="新細明體"/>
                            <w:noProof/>
                            <w:color w:val="0000FF"/>
                            <w:kern w:val="0"/>
                          </w:rPr>
                          <w:drawing>
                            <wp:inline distT="0" distB="0" distL="0" distR="0" wp14:anchorId="11E86B83" wp14:editId="1C712D40">
                              <wp:extent cx="790575" cy="255905"/>
                              <wp:effectExtent l="0" t="0" r="9525" b="0"/>
                              <wp:docPr id="2" name="圖片 2" descr="https://lis.ly.gov.tw/lglaw/images/relate.png">
                                <a:hlinkClick xmlns:a="http://schemas.openxmlformats.org/drawingml/2006/main" r:id="rId7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 descr="https://lis.ly.gov.tw/lglaw/images/relate.png">
                                        <a:hlinkClick r:id="rId7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90575" cy="2559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第三條 之三 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(政團在委員會席次分配方式)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各黨團在各委員會席次，依政黨比例分配。分配算式如下：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  <w:t xml:space="preserve">　　（各黨團人數／院會席次－第三條之二　委員總數）×（13</w:t>
                        </w:r>
                        <w:proofErr w:type="gramStart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─</w:t>
                        </w:r>
                        <w:proofErr w:type="gramEnd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依第三條之二抽籤分配至各委員會委員席次）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  <w:t xml:space="preserve">　　依前項算式分配席次如有餘數，且所屬委員尚未分配完竣之黨團，由餘數總和較大者，依序於未達最低額之委員會選擇增加</w:t>
                        </w:r>
                        <w:proofErr w:type="gramStart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一</w:t>
                        </w:r>
                        <w:proofErr w:type="gramEnd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席次；各委員會</w:t>
                        </w:r>
                        <w:proofErr w:type="gramStart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席次均達最低</w:t>
                        </w:r>
                        <w:proofErr w:type="gramEnd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額時，得於未達</w:t>
                        </w:r>
                        <w:proofErr w:type="gramStart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最</w:t>
                        </w:r>
                        <w:proofErr w:type="gramEnd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高額之委員會中選擇之，至所分配總席次等於各黨團人數止。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  <w:t xml:space="preserve">　　各黨團應於前條委員抽籤日後二日內，提出所屬委員參加各委員會之名單。逾期未提出名單或僅提出部分名單者，就未決定參加委員會之委員，於各該黨團分配席次抽籤決定之。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  <w:t xml:space="preserve">　　前項抽籤辦法另定之。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  <w:t xml:space="preserve">　　第一項院會席次之計算，依第三條之二第二項規定。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</w:r>
                        <w:r w:rsidRPr="006E78BA">
                          <w:rPr>
                            <w:rFonts w:ascii="新細明體" w:hAnsi="新細明體" w:cs="新細明體"/>
                            <w:noProof/>
                            <w:color w:val="0000FF"/>
                            <w:kern w:val="0"/>
                          </w:rPr>
                          <w:drawing>
                            <wp:inline distT="0" distB="0" distL="0" distR="0" wp14:anchorId="313839CD" wp14:editId="550E2B83">
                              <wp:extent cx="790575" cy="255905"/>
                              <wp:effectExtent l="0" t="0" r="9525" b="0"/>
                              <wp:docPr id="3" name="圖片 3" descr="https://lis.ly.gov.tw/lglaw/images/relate.png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7" descr="https://lis.ly.gov.tw/lglaw/images/relate.png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90575" cy="2559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第三條 之四 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(召集委員之選舉)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lastRenderedPageBreak/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　立法院各委員會置召集委員二人，由各委員會委員於每會期互選產生；其選舉辦法另定之。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lastRenderedPageBreak/>
                    <w:t>第四條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(委員會會議之主席)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各委員會會議，以召集委員</w:t>
                        </w:r>
                        <w:proofErr w:type="gramStart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一</w:t>
                        </w:r>
                        <w:proofErr w:type="gramEnd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人為主席，由各召集委員輪流擔任。但同一議案，得由一人連續擔任主席。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第四條 之</w:t>
                  </w:r>
                  <w:proofErr w:type="gramStart"/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一</w:t>
                  </w:r>
                  <w:proofErr w:type="gramEnd"/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 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(議程之議決)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528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各委員會之議程，應由輪值召集委員決定之。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第五條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(會議之召集)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各委員會會議，於院會日期之外，由召集委員隨時召集之。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  <w:t xml:space="preserve">　　各委員會三分之一以上之委員，得以書面記明討論之議案及理由，提請召開委員會議。召集委員應於收到書面後十五日內定期召集會議。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第六條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(開會人數限制)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696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各委員會會議須有各該委員會委員三分之一出席，方得開會。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第六條 之</w:t>
                  </w:r>
                  <w:proofErr w:type="gramStart"/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一</w:t>
                  </w:r>
                  <w:proofErr w:type="gramEnd"/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 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(擬訂立法計畫)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各委員會召集委員，應於每會期共同邀請各該委員會委員擬定該會期之立法計畫。必要時，得邀請相關院、部、會人員列席說明。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第七條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(審議案件之程序)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各委員會審議案件，須經初步審查者，由委員若干人輪流審查，必要時得由召集委員推定委員若干人審查。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第八條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(列席人員之發言)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792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各委員會開會時，應邀列席人員，得就所</w:t>
                        </w:r>
                        <w:proofErr w:type="gramStart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詢</w:t>
                        </w:r>
                        <w:proofErr w:type="gramEnd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事項說明事實或發表意見。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第九條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(會議公開原則及其例外)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各委員會會議，公開舉行。但經院會或召集委員會議決定，得開秘密會議。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  <w:t xml:space="preserve">　　在會議進行中，經主席或各該委員會委員五分之一以上提議，得改開秘密會議。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  <w:t xml:space="preserve">　　應委員會之請而列席之政府人員，得請開秘密會議。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第十條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(議事之決定)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各委員會之議事，以出席委員過半數之同意決之；可否同數時，取決於主席。</w:t>
                        </w:r>
                        <w:proofErr w:type="gramStart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但在場出席</w:t>
                        </w:r>
                        <w:proofErr w:type="gramEnd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委員不足三人者，不得議決。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第十條 之</w:t>
                  </w:r>
                  <w:proofErr w:type="gramStart"/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一</w:t>
                  </w:r>
                  <w:proofErr w:type="gramEnd"/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 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(議案協商)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16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各委員會於議案審查完畢後，應就該議案應否交由黨團協商，予以議決。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第十條 之二 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(異議權)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出席委員對於委員會之決議當場聲明不同意者，得於院會依立法院職權行使法第六十八條第二項提出異議。但缺席委員及出席而未當場聲明不同意者，不得異議，亦不得參與異議之連署或附議。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</w:r>
                        <w:r w:rsidRPr="006E78BA">
                          <w:rPr>
                            <w:rFonts w:ascii="新細明體" w:hAnsi="新細明體" w:cs="新細明體"/>
                            <w:noProof/>
                            <w:color w:val="0000FF"/>
                            <w:kern w:val="0"/>
                          </w:rPr>
                          <w:drawing>
                            <wp:inline distT="0" distB="0" distL="0" distR="0" wp14:anchorId="2D76C9AD" wp14:editId="4123ADA4">
                              <wp:extent cx="790575" cy="255905"/>
                              <wp:effectExtent l="0" t="0" r="9525" b="0"/>
                              <wp:docPr id="4" name="圖片 4" descr="https://lis.ly.gov.tw/lglaw/images/relate.png">
                                <a:hlinkClick xmlns:a="http://schemas.openxmlformats.org/drawingml/2006/main" r:id="rId9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8" descr="https://lis.ly.gov.tw/lglaw/images/relate.png">
                                        <a:hlinkClick r:id="rId9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90575" cy="2559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第十一條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(審查議案後應以書面提報院會)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lastRenderedPageBreak/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各委員會審查議案之經過及決議，應以書面提報院會討論，並由決議時之主席或推定委員一人向院會說明。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lastRenderedPageBreak/>
                    <w:t>第十二條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(議事錄)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72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各委員會會議結果，應製成議事錄，經主席簽名後印發各委員。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第十三條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(聯席審查)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各委員會所議事項，有與其他委員會相關聯者，除由院會決定交付聯席審查者外，得由召集委員報請院會決定與其他有關委員會開聯席會議。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第十四條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(聯席會議之召集)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432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聯席會議，由主辦之委員會召集之。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第十五條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(聯席會議之主席)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60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聯席會議之主席，由主辦之委員會召集委員擔任之。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第十六條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(指定人員紀錄聯席會議)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聯席會議之紀錄與其他事務，由主席於各該委員會職員中指定若干人擔任之。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第十七條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(刪除)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144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（刪除）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第十八條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(專門委員)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各委員會各置專門委員一人，職務列簡任第十二職等至第十三職等，擔任議案及人民請願書之研究編撰及草擬事項。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第十九條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(主任秘書)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各委員會各置主任秘書一人，職務列簡任第十二職等至第十三職等，處理各委員會事務。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第二十條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(編制)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各委員會置秘書十二人，職務列簡任第十職等至第十二職等；編審十二人，職務列簡任第十職等至第十一職等；科長十二人，</w:t>
                        </w:r>
                        <w:proofErr w:type="gramStart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職務列薦任</w:t>
                        </w:r>
                        <w:proofErr w:type="gramEnd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第九職等；專員十二人，</w:t>
                        </w:r>
                        <w:proofErr w:type="gramStart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職務列薦任</w:t>
                        </w:r>
                        <w:proofErr w:type="gramEnd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第七職等至第九職等；科員二十四人至三十二人，職務列委任第五職等或薦任第六職等至第七職等；辦事員八人，職務列委任第三職等至第五職等；書記八人，職務列委任第一職等至第三職等。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  <w:t xml:space="preserve">　　前項員額中秘書四人、編審四人、科長四人、專員四人出缺不補。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  <w:t xml:space="preserve">　　本法修正施行前依雇員管理規則進用之現職書記，其未具公務人員任用資格者，得占用第一項書記職缺繼續僱用至離職時止。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  <w:t xml:space="preserve">　　第一項人員，由院長視各委員會</w:t>
                        </w:r>
                        <w:proofErr w:type="gramStart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事務之繁簡</w:t>
                        </w:r>
                        <w:proofErr w:type="gramEnd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配用之。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第二十一條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(委員會會議之依據)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各委員會會議，除本法規定者外，得</w:t>
                        </w:r>
                        <w:proofErr w:type="gramStart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準</w:t>
                        </w:r>
                        <w:proofErr w:type="gramEnd"/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用立法院組織法、立法院職權行使法、立法委員行為法及立法院議事規則有關條文之規定。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  <w:tr w:rsidR="006E78BA" w:rsidRPr="006E78BA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  <w:r w:rsidRPr="006E78BA">
                    <w:rPr>
                      <w:rFonts w:ascii="新細明體" w:hAnsi="新細明體" w:cs="新細明體"/>
                      <w:color w:val="C000FF"/>
                      <w:kern w:val="0"/>
                    </w:rPr>
                    <w:t>第二十二條</w:t>
                  </w:r>
                  <w:r w:rsidRPr="006E78BA">
                    <w:rPr>
                      <w:rFonts w:ascii="新細明體" w:hAnsi="新細明體" w:cs="新細明體"/>
                      <w:kern w:val="0"/>
                    </w:rPr>
                    <w:t> (施行日)</w:t>
                  </w: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"/>
                    <w:gridCol w:w="8300"/>
                  </w:tblGrid>
                  <w:tr w:rsidR="006E78BA" w:rsidRPr="006E78BA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>   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6E78BA" w:rsidRPr="006E78BA" w:rsidRDefault="006E78BA" w:rsidP="006E78BA">
                        <w:pPr>
                          <w:widowControl/>
                          <w:rPr>
                            <w:rFonts w:ascii="新細明體" w:hAnsi="新細明體" w:cs="新細明體"/>
                            <w:kern w:val="0"/>
                          </w:rPr>
                        </w:pP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t xml:space="preserve">　　本法自公布日施行。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  <w:t xml:space="preserve">　　本法中華民國九十六年十一月三十日及十二月七日修正之條文，自立法院第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lastRenderedPageBreak/>
                          <w:t>七屆立法委員就職日起施行。</w:t>
                        </w:r>
                        <w:r w:rsidRPr="006E78BA">
                          <w:rPr>
                            <w:rFonts w:ascii="新細明體" w:hAnsi="新細明體" w:cs="新細明體"/>
                            <w:kern w:val="0"/>
                          </w:rPr>
                          <w:br/>
                          <w:t xml:space="preserve">　　本法中華民國九十八年一月十三日修正之條文，自中華民國九十八年二月一日起施行。</w:t>
                        </w:r>
                      </w:p>
                    </w:tc>
                  </w:tr>
                </w:tbl>
                <w:p w:rsidR="006E78BA" w:rsidRPr="006E78BA" w:rsidRDefault="006E78BA" w:rsidP="006E78BA">
                  <w:pPr>
                    <w:widowControl/>
                    <w:rPr>
                      <w:rFonts w:ascii="新細明體" w:hAnsi="新細明體" w:cs="新細明體"/>
                      <w:kern w:val="0"/>
                    </w:rPr>
                  </w:pPr>
                </w:p>
              </w:tc>
            </w:tr>
          </w:tbl>
          <w:p w:rsidR="006E78BA" w:rsidRPr="006E78BA" w:rsidRDefault="006E78BA" w:rsidP="006E78BA">
            <w:pPr>
              <w:widowControl/>
              <w:rPr>
                <w:rFonts w:ascii="微軟正黑體" w:eastAsia="微軟正黑體" w:hAnsi="微軟正黑體" w:cs="新細明體"/>
                <w:color w:val="333333"/>
                <w:kern w:val="0"/>
              </w:rPr>
            </w:pPr>
          </w:p>
        </w:tc>
      </w:tr>
    </w:tbl>
    <w:p w:rsidR="006E78BA" w:rsidRPr="006E78BA" w:rsidRDefault="006E78BA">
      <w:bookmarkStart w:id="0" w:name="_GoBack"/>
      <w:bookmarkEnd w:id="0"/>
    </w:p>
    <w:sectPr w:rsidR="006E78BA" w:rsidRPr="006E78B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8BA"/>
    <w:rsid w:val="0003298C"/>
    <w:rsid w:val="00044361"/>
    <w:rsid w:val="0006554F"/>
    <w:rsid w:val="002506B5"/>
    <w:rsid w:val="00345FEA"/>
    <w:rsid w:val="00353197"/>
    <w:rsid w:val="00431547"/>
    <w:rsid w:val="00466D6D"/>
    <w:rsid w:val="004C23BA"/>
    <w:rsid w:val="005241BA"/>
    <w:rsid w:val="0055705C"/>
    <w:rsid w:val="006B28DC"/>
    <w:rsid w:val="006C0669"/>
    <w:rsid w:val="006E78BA"/>
    <w:rsid w:val="00762A92"/>
    <w:rsid w:val="007957F8"/>
    <w:rsid w:val="00A54FC4"/>
    <w:rsid w:val="00A76691"/>
    <w:rsid w:val="00B016DF"/>
    <w:rsid w:val="00BE1208"/>
    <w:rsid w:val="00C03FEB"/>
    <w:rsid w:val="00EE5C48"/>
    <w:rsid w:val="00F7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78B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6E78BA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78B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6E78BA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481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s.ly.gov.tw/lglawc/lawsingle?004D13C62108000000000000000004600000000A000000%5e04402098011300%5e00030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is.ly.gov.tw/lglawc/lawsingle?004D13C62108000000000000000004600000000A000000%5e04402098011300%5e000302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lis.ly.gov.tw/lglawc/lawsingle?004D13C62108000000000000000004600000000A000000%5e04402098011300%5e00010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is.ly.gov.tw/lglawc/lawsingle?004D13C62108000000000000000004600000000A000000%5e04402098011300%5e001002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402</Words>
  <Characters>2296</Characters>
  <Application>Microsoft Office Word</Application>
  <DocSecurity>0</DocSecurity>
  <Lines>19</Lines>
  <Paragraphs>5</Paragraphs>
  <ScaleCrop>false</ScaleCrop>
  <Company/>
  <LinksUpToDate>false</LinksUpToDate>
  <CharactersWithSpaces>2693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1</cp:revision>
  <dcterms:created xsi:type="dcterms:W3CDTF">2018-07-31T08:17:00Z</dcterms:created>
  <dcterms:modified xsi:type="dcterms:W3CDTF">2018-07-31T08:17:00Z</dcterms:modified>
</cp:coreProperties>
</file>