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2ECD" w:rsidRDefault="00F02ECD" w:rsidP="00F02ECD">
      <w:pPr>
        <w:spacing w:line="360" w:lineRule="exact"/>
        <w:rPr>
          <w:rFonts w:ascii="新細明體" w:eastAsia="新細明體" w:hAnsi="新細明體" w:cs="新細明體"/>
          <w:b/>
          <w:bCs/>
          <w:color w:val="000080"/>
          <w:kern w:val="0"/>
          <w:sz w:val="28"/>
          <w:szCs w:val="28"/>
        </w:rPr>
      </w:pPr>
      <w:r>
        <w:rPr>
          <w:rFonts w:ascii="新細明體" w:eastAsia="新細明體" w:hAnsi="新細明體" w:cs="新細明體" w:hint="eastAsia"/>
          <w:b/>
          <w:bCs/>
          <w:color w:val="000080"/>
          <w:kern w:val="0"/>
          <w:sz w:val="28"/>
          <w:szCs w:val="28"/>
        </w:rPr>
        <w:t>本會待審查行政命令                                               11</w:t>
      </w:r>
      <w:r>
        <w:rPr>
          <w:rFonts w:ascii="新細明體" w:eastAsia="新細明體" w:hAnsi="新細明體" w:cs="新細明體"/>
          <w:b/>
          <w:bCs/>
          <w:color w:val="000080"/>
          <w:kern w:val="0"/>
          <w:sz w:val="28"/>
          <w:szCs w:val="28"/>
        </w:rPr>
        <w:t>3</w:t>
      </w:r>
      <w:r>
        <w:rPr>
          <w:rFonts w:ascii="新細明體" w:eastAsia="新細明體" w:hAnsi="新細明體" w:cs="新細明體" w:hint="eastAsia"/>
          <w:b/>
          <w:bCs/>
          <w:color w:val="000080"/>
          <w:kern w:val="0"/>
          <w:sz w:val="28"/>
          <w:szCs w:val="28"/>
        </w:rPr>
        <w:t>.</w:t>
      </w:r>
      <w:r>
        <w:rPr>
          <w:rFonts w:ascii="新細明體" w:eastAsia="新細明體" w:hAnsi="新細明體" w:cs="新細明體"/>
          <w:b/>
          <w:bCs/>
          <w:color w:val="000080"/>
          <w:kern w:val="0"/>
          <w:sz w:val="28"/>
          <w:szCs w:val="28"/>
        </w:rPr>
        <w:t>01</w:t>
      </w:r>
      <w:r>
        <w:rPr>
          <w:rFonts w:ascii="新細明體" w:eastAsia="新細明體" w:hAnsi="新細明體" w:cs="新細明體" w:hint="eastAsia"/>
          <w:b/>
          <w:bCs/>
          <w:color w:val="000080"/>
          <w:kern w:val="0"/>
          <w:sz w:val="28"/>
          <w:szCs w:val="28"/>
        </w:rPr>
        <w:t>.</w:t>
      </w:r>
      <w:r>
        <w:rPr>
          <w:rFonts w:ascii="新細明體" w:eastAsia="新細明體" w:hAnsi="新細明體" w:cs="新細明體"/>
          <w:b/>
          <w:bCs/>
          <w:color w:val="000080"/>
          <w:kern w:val="0"/>
          <w:sz w:val="28"/>
          <w:szCs w:val="28"/>
        </w:rPr>
        <w:t>05</w:t>
      </w:r>
      <w:bookmarkStart w:id="0" w:name="_GoBack"/>
      <w:bookmarkEnd w:id="0"/>
    </w:p>
    <w:p w:rsidR="00F02ECD" w:rsidRDefault="00F02ECD" w:rsidP="00F02ECD">
      <w:pPr>
        <w:rPr>
          <w:rFonts w:ascii="標楷體" w:eastAsia="標楷體" w:hAnsi="標楷體"/>
          <w:sz w:val="28"/>
        </w:rPr>
      </w:pPr>
      <w:r>
        <w:rPr>
          <w:rFonts w:ascii="標楷體" w:eastAsia="標楷體" w:hAnsi="標楷體"/>
          <w:sz w:val="28"/>
        </w:rPr>
        <w:t>行政命令案（６６案）</w:t>
      </w:r>
    </w:p>
    <w:tbl>
      <w:tblPr>
        <w:tblStyle w:val="a3"/>
        <w:tblW w:w="10058" w:type="dxa"/>
        <w:tblLook w:val="04A0" w:firstRow="1" w:lastRow="0" w:firstColumn="1" w:lastColumn="0" w:noHBand="0" w:noVBand="1"/>
      </w:tblPr>
      <w:tblGrid>
        <w:gridCol w:w="752"/>
        <w:gridCol w:w="3076"/>
        <w:gridCol w:w="1242"/>
        <w:gridCol w:w="1756"/>
        <w:gridCol w:w="1616"/>
        <w:gridCol w:w="1616"/>
      </w:tblGrid>
      <w:tr w:rsidR="00F02ECD" w:rsidTr="00F02ECD">
        <w:tc>
          <w:tcPr>
            <w:tcW w:w="752" w:type="dxa"/>
          </w:tcPr>
          <w:p w:rsidR="00F02ECD" w:rsidRDefault="00F02ECD" w:rsidP="00F02ECD">
            <w:pPr>
              <w:spacing w:line="360" w:lineRule="exact"/>
              <w:rPr>
                <w:rFonts w:ascii="標楷體" w:eastAsia="標楷體" w:hAnsi="標楷體"/>
                <w:b/>
                <w:sz w:val="28"/>
              </w:rPr>
            </w:pPr>
            <w:r>
              <w:rPr>
                <w:rFonts w:ascii="標楷體" w:eastAsia="標楷體" w:hAnsi="標楷體"/>
                <w:b/>
                <w:sz w:val="28"/>
              </w:rPr>
              <w:t>序號</w:t>
            </w:r>
          </w:p>
        </w:tc>
        <w:tc>
          <w:tcPr>
            <w:tcW w:w="3076" w:type="dxa"/>
          </w:tcPr>
          <w:p w:rsidR="00F02ECD" w:rsidRDefault="00F02ECD" w:rsidP="00F02ECD">
            <w:pPr>
              <w:spacing w:line="360" w:lineRule="exact"/>
              <w:rPr>
                <w:rFonts w:ascii="標楷體" w:eastAsia="標楷體" w:hAnsi="標楷體"/>
                <w:b/>
                <w:sz w:val="28"/>
              </w:rPr>
            </w:pPr>
            <w:r>
              <w:rPr>
                <w:rFonts w:ascii="標楷體" w:eastAsia="標楷體" w:hAnsi="標楷體"/>
                <w:b/>
                <w:sz w:val="28"/>
              </w:rPr>
              <w:t>案由</w:t>
            </w:r>
          </w:p>
        </w:tc>
        <w:tc>
          <w:tcPr>
            <w:tcW w:w="1242" w:type="dxa"/>
          </w:tcPr>
          <w:p w:rsidR="00F02ECD" w:rsidRDefault="00F02ECD" w:rsidP="00F02ECD">
            <w:pPr>
              <w:spacing w:line="360" w:lineRule="exact"/>
              <w:rPr>
                <w:rFonts w:ascii="標楷體" w:eastAsia="標楷體" w:hAnsi="標楷體"/>
                <w:b/>
                <w:sz w:val="28"/>
              </w:rPr>
            </w:pPr>
            <w:r>
              <w:rPr>
                <w:rFonts w:ascii="標楷體" w:eastAsia="標楷體" w:hAnsi="標楷體"/>
                <w:b/>
                <w:sz w:val="28"/>
              </w:rPr>
              <w:t>訂定機關</w:t>
            </w:r>
          </w:p>
        </w:tc>
        <w:tc>
          <w:tcPr>
            <w:tcW w:w="1756" w:type="dxa"/>
          </w:tcPr>
          <w:p w:rsidR="00F02ECD" w:rsidRDefault="00F02ECD" w:rsidP="00F02ECD">
            <w:pPr>
              <w:spacing w:line="360" w:lineRule="exact"/>
              <w:rPr>
                <w:rFonts w:ascii="標楷體" w:eastAsia="標楷體" w:hAnsi="標楷體"/>
                <w:b/>
                <w:sz w:val="28"/>
              </w:rPr>
            </w:pPr>
            <w:r>
              <w:rPr>
                <w:rFonts w:ascii="標楷體" w:eastAsia="標楷體" w:hAnsi="標楷體"/>
                <w:b/>
                <w:sz w:val="28"/>
              </w:rPr>
              <w:t>院會交付會次及日期</w:t>
            </w:r>
          </w:p>
        </w:tc>
        <w:tc>
          <w:tcPr>
            <w:tcW w:w="1616" w:type="dxa"/>
          </w:tcPr>
          <w:p w:rsidR="00F02ECD" w:rsidRDefault="00F02ECD" w:rsidP="00F02ECD">
            <w:pPr>
              <w:spacing w:line="360" w:lineRule="exact"/>
              <w:rPr>
                <w:rFonts w:ascii="標楷體" w:eastAsia="標楷體" w:hAnsi="標楷體"/>
                <w:b/>
                <w:sz w:val="28"/>
              </w:rPr>
            </w:pPr>
            <w:r>
              <w:rPr>
                <w:rFonts w:ascii="標楷體" w:eastAsia="標楷體" w:hAnsi="標楷體"/>
                <w:b/>
                <w:sz w:val="28"/>
              </w:rPr>
              <w:t>議事處字號及日期</w:t>
            </w:r>
          </w:p>
        </w:tc>
        <w:tc>
          <w:tcPr>
            <w:tcW w:w="1616" w:type="dxa"/>
          </w:tcPr>
          <w:p w:rsidR="00F02ECD" w:rsidRDefault="00F02ECD" w:rsidP="00F02ECD">
            <w:pPr>
              <w:spacing w:line="360" w:lineRule="exact"/>
              <w:rPr>
                <w:rFonts w:ascii="標楷體" w:eastAsia="標楷體" w:hAnsi="標楷體"/>
                <w:b/>
                <w:sz w:val="28"/>
              </w:rPr>
            </w:pPr>
            <w:r>
              <w:rPr>
                <w:rFonts w:ascii="標楷體" w:eastAsia="標楷體" w:hAnsi="標楷體"/>
                <w:b/>
                <w:sz w:val="28"/>
              </w:rPr>
              <w:t>展延會期資訊</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經濟部函，為修正「水（旱）災災害緊急應變警報訊號種類、內容、樣式、方法及發布時機」，請查照案。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10-7-3 (112.03.10)</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112年3月22日台立議字第1120700484號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2</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經濟部函，為修正「戰略性高科技貨品種類、特定戰略性高科技貨品種類及輸出管制地區」之「輸往俄羅斯及白俄羅斯高科技貨品清單」，請查照案。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10-7-3 (112.03.10)</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112年3月22日台立議字第1120700485號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3</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經濟部函送「中華民國一百十二年度再生能源電能躉購費率及其計算公式」，請查照案。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10-7-3 (112.03.10)</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112年3月22日台立議字第1120700486號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4</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經濟部函送「耗水費徵收辦法」，請查照案。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10-7-3 (112.03.10)</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112年3月22日台立議字第1120700487號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5</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行政院農業委員會函，為修正「農業金融業個人資料檔案安全維護管理辦法」第六條及第八條條文，請查照案。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10-5-14 (111.05.27)</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111年9月28日台立議字第1110702832號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10-07-03  1120700509 112/03/22</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6</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經濟部函，為修正「在大陸地區從事投資或技術合作許可辦法」第五條及第十條條文，請查照案。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10-5-14 (111.05.27)</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111年9月28日台立議字第1110702834號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10-07-03  1120700510 112/03/22</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7</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經濟部函，為修正「電業登記規則」部分條文，請查照案。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10-7-4 (112.03.17)</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112年4月7日台立議字第1120700599號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lastRenderedPageBreak/>
              <w:t>8</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經濟部函，為修正公告「國營事業編列研究發展支出占總預算比例」，請查照案。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10-5-7 (111.04.08)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111年4月21日台立議字第1110701188號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10-07-04  1120700630 112/04/07</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9</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行政院函，為中華民國106年1月26日修正公布之「電業法」第六條第一項規定，延後自114年1月1日施行，請查照案。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10-5-10 (111.04.29)</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111年5月11日台立議字第1110701829號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10-07-04  1120700631 112/04/07</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行政院農業委員會函，為修正「輸入應施檢疫物檢疫準則」第十六條條文，請查照案。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10-7-5 (112.03.24)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112年4月13日台立議字第1120700726號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11</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行政院農業委員會函，為修正「農會出資或投資審核辦法」第六條條文，請查照案。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10-7-6 (112.04.07)</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112年4月19日台立議字第1120700868號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12</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行政院農業委員會函，為修正「從事農業工作農民申請參加農民健康保險認定標準及資格審查辦法」部分條文，請查照案。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10-7-7 (112.04.14)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112年4月26日台立議字第1120701202號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13</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行政院農業委員會函，為修正「申請農業用地作農業設施容許使用審查辦法」第二十一條附表四，請查照案。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10-7-7 (112.04.14)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112年4月26日台立議字第1120701203號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14</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經濟部函，為修正「臺灣製產品MIT微笑標章推動及管理辦法」，請查照案。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10-7-7 (112.04.14)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112年4月26日台立議字第1120701201號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15</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國家發展委員會函送本院制定疫後強化經濟與社會韌性及全民共享經濟成果特別條例通過附帶決議之研處說明，請</w:t>
            </w:r>
            <w:r w:rsidRPr="00F02ECD">
              <w:rPr>
                <w:rFonts w:ascii="標楷體" w:eastAsia="標楷體" w:hAnsi="標楷體"/>
                <w:sz w:val="28"/>
              </w:rPr>
              <w:lastRenderedPageBreak/>
              <w:t>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lastRenderedPageBreak/>
              <w:t>國家發展委員會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10-7-7 (112.04.14)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112年4月26日台立議字第1120701204號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16</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交通部函送本院制定疫後強化經濟與社會韌性及全民共享經濟成果特別條例通過附帶決議之研處說明，請查照案。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交通部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10-7-8 (112.04.21)</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112年5月4日台立議字第1120701500號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17</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經濟部函送「經濟部所屬事業機構公務員經商兼職管理辦法」，請查照案。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10-7-9 (112.04.28)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112年5月10日台立議字第1120701687號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18</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行政院農業委員會函送「動物醫事助理認證及認證機構認可辦法」，請查照案。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10-7-10 (112.05.05)</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112年5月17日台立議字第1120701882號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19</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行政院農業委員會函，為修正「農會財務處理辦法」第三十五條之一附件，請查照案。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10-7-10 (112.05.05)</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112年5月17日台立議字第1120701883號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20</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經濟部函送「111年度中小企業法規調適檢討報告書」，請查照案。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10-7-10 (112.05.05)</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112年5月18日台立議字第1120701884號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21</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行政院農業委員會、衛生福利部函，為修正「實際從事農業工作者申請參加全民健康保險認定標準及資格審查辦法」部分條文，請查照案。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行政院農業委員會、衛生福利部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10-7-10 (112.05.05)</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112年5月17日台立議字第1120701881號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22</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公平交易委員會函，為修正「多層次傳銷保護機構設立及管理辦法」，請查照案。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公平交易委員會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10-7-11 (112.05.12)</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112年5月24日台立議字第1120702037號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23</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經濟部函送「經濟部推動產業及中小企業升級轉型辦法」，請查照案。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10-7-11 (112.05.12)</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112年5月24日台立議字第1120702038</w:t>
            </w:r>
            <w:r w:rsidRPr="00F02ECD">
              <w:rPr>
                <w:rFonts w:ascii="標楷體" w:eastAsia="標楷體" w:hAnsi="標楷體"/>
                <w:sz w:val="28"/>
              </w:rPr>
              <w:lastRenderedPageBreak/>
              <w:t xml:space="preserve">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24</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財政部函，為「公司或有限合夥事業投資智慧機械或第五代行動通訊系統抵減辦法」名稱修正為「公司或有限合夥事業投資智慧機械或第五代行動通訊系統及資通安全產品或服務抵減辦法」，並修正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經濟部、財政部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10-6-8 (111.11.18)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111年11月30日台立議字第1110704122號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w:t>
            </w:r>
          </w:p>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1120702087</w:t>
            </w:r>
          </w:p>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112/05/24</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25</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經濟部、財政部函送「生技醫藥公司投資機械設備或系統適用投資抵減辦法」及「個人投資生技醫藥公司所得額減除辦法」，請查照案。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經濟部、財政部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10-6-8 (111.11.18)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111年11月30日台立議字第1110704200號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1120702088 112/05/24</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26</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財政部函，為「生技新藥公司研究與發展及人才培訓支出適用投資抵減辦法」名稱修正為「生技醫藥公司研究與發展支出適用投資抵減辦法」，並修正條文；「營利事業適用生技新藥公司股東投資抵減辦法」名稱修正為「營利事業適用生技醫藥公司股東投資抵減辦法」，並修正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經濟部、財政部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10-6-8 (111.11.18)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111年11月30日台立議字第1110704201號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1120702089 112/05/24</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27</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經濟部函送「中華民國一百十四年電力排碳係數基準」，請查照案。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10-6-10 (111.12.02)</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111年12月14日台立議字第1110704362號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28</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經濟部函，為修正「中華民國一百零八年度再生能源電能躉購費率及其計算公式」，請查照案。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10-6-4 (111.10.14)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111年11月2日台立議字第1110703458號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lastRenderedPageBreak/>
              <w:t>29</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經濟部函，為修正「中華民國一百零九年度再生能源電能躉購費率及其計算公式」，請查照案。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10-6-4 (111.10.14)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111年11月2日台立議字第1110703504號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30</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國家發展委員會函送「政黨與附隨組織及黨營機構保管或持有政治檔案調查程序辦法」，請查照案。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國家發展委員會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10-6-4 (111.10.14)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111年11月2日台立議字第1110703506號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31</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經濟部函，為修正「再生能源發電設備設置管理辦法」部分條文，請查照案。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10-6-8 (111.11.18)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111年11月30日台立議字第1110704118號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32</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經濟部函，為修正「發電設施與輸變電設施電力開發協助金提撥比例」，請查照案。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10-6-8 (111.11.18)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111年11月30日台立議字第1110704117號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33</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經濟部函，為修正「電力開發協助金運用與監督管理辦法」第六條之一、第九條條文及第七條附表，請查照案。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10-6-8 (111.11.18)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111年11月30日台立議字第1110704119號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34</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經濟部函送「地熱能發電示範獎勵辦法」，請查照案。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10-6-8 (111.11.18)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111年11月30日台立議字第1110704120號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35</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經濟部函，為修正「汽電共生系統實施辦法」部分條文，請查照案。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10-6-8 (111.11.18)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111年11月30日台立議字第1110704121號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10-07-01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36</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經濟部函送「生技醫藥公司審定辦法」，請查照案。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10-6-8 (111.11.18)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111年11月30日台立議字第1110704195號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37</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經濟部函送「生技醫藥公司高階專業人員及技</w:t>
            </w:r>
            <w:r w:rsidRPr="00F02ECD">
              <w:rPr>
                <w:rFonts w:ascii="標楷體" w:eastAsia="標楷體" w:hAnsi="標楷體"/>
                <w:sz w:val="28"/>
              </w:rPr>
              <w:lastRenderedPageBreak/>
              <w:t>術投資人緩課股票認定作業辦法」及「生技醫藥公司發行認股權憑證作業辦法」，請查照案。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lastRenderedPageBreak/>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10-6-8 (111.11.18)</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111年11月30日台</w:t>
            </w:r>
            <w:r w:rsidRPr="00F02ECD">
              <w:rPr>
                <w:rFonts w:ascii="標楷體" w:eastAsia="標楷體" w:hAnsi="標楷體"/>
                <w:sz w:val="28"/>
              </w:rPr>
              <w:lastRenderedPageBreak/>
              <w:t xml:space="preserve">立議字第1110704196號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lastRenderedPageBreak/>
              <w:t xml:space="preserve">10-07-11  1120702090 </w:t>
            </w:r>
            <w:r w:rsidRPr="00F02ECD">
              <w:rPr>
                <w:rFonts w:ascii="標楷體" w:eastAsia="標楷體" w:hAnsi="標楷體"/>
                <w:sz w:val="28"/>
              </w:rPr>
              <w:lastRenderedPageBreak/>
              <w:t>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lastRenderedPageBreak/>
              <w:t>38</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經濟部函，為修正「中華民國一百十年度再生能源電能躉購費率及其計算公式」，請查照案。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10-6-4 (111.10.14)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111年11月2日台立議字第1110703505號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10-07-11  1120702090 112/05/26</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39</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行政院農業委員會函送本院制定疫後強化經濟與社會韌性及全民共享經濟成果特別條例通過附帶決議之辦理情形，請查照案。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10-7-12 (112.05.19)</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112年6月13日台立議字第1120702259號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40</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行政院農業委員會函送「行政院農業委員會執行疫後強化農業韌性及農漁民協助措施辦法」，請查照案。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10-7-12 (112.05.19)</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112年6月13日台立議字第1120702261號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41</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經濟部函，為修正「外國特定專業人才具有經濟領域特殊專長」，請查照案。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10-7-12 (112.05.19)</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112年6月13日台立議字第1120702263號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42</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行政院農業委員會函送「食農教育專業人員資格及培訓辦法」，請查照案。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10-7-13 (112.05.26)</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112年9月28日台立議字第1120702503號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43</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行政院農業委員會函，為修正「水稻收入保險實施及保險費補助辦法」第二十一條及第二十四條條文，請查照案。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10-7-13 (112.05.26)</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112年9月28日台立議字第1120702502號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44</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經濟部函，為修正「經濟部礦場安全諮議委員會設置辦法」第二條及第七條條文，請查照案。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10-7-13 (112.05.26)</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112年9月28日台立議字第1120702500號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lastRenderedPageBreak/>
              <w:t>45</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行政院農業委員會函，為修正「農田水利非事業用不動產活化收益辦法」部分條文，請查照案。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10-6-11 (111.12.09)</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111年12月22日台立議字第1110704539號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10-08-01  1120702898 112/10/12</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46</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經濟部函，為修正「國營事業編列研究發展支出占總預算比例」，請查照案。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10-6-12 (111.12.16)</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111年12月29日台立議字第1110704665號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10-08-01  1120702899 112/10/12</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47</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行政院農業委員會函送「全國性畜牧事務之政府捐助財團法人本於安全可靠之原則所為其他有助於增加財源之投資項目及額度」，請查照案。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10-6-15 (112.01.09)</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112年1月30日台立議字第1120700094號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10-08-01  1120702902 112/10/12</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48</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行政院農業委員會函送「農田水利事業人員辦理農田水利事業作業基金不動產使用管理業務績效評核辦法」，請查照案。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10-6-13 (111.12.23)</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112年1月19日台立議字第1110704900號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10-08-01  1120702903 112/10/12</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49</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經濟部函，為修正「電力調度轉供費用優惠辦法」第四條條文，請查照案。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10-6-15 (112.01.09)</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112年1月30日台立議字第1120700092號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10-08-01  1120702904 112/10/12</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50</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經濟部函送「生技醫藥公司研究與發展支出適用投資抵減辦法」總說明及「營利事業適用生技醫藥公司股東投資抵減辦法」第四條修正條文對照表之勘誤表，請查照案。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10-6-14 (111.12.30)</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112年1月30日台立議字第1120700010號 </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10-08-01  1120702905 112/10/12</w:t>
            </w: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51</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行政院農業委員會函送「農民健康保險被保險人所有農地全部出租繼續加保辦法」，請查照案。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行政院農業委員會</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10-8-4 (112.10.20)</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112年11月2日台立議字第1120703295號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52</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勞動部函送本院通過</w:t>
            </w:r>
            <w:r w:rsidRPr="00F02ECD">
              <w:rPr>
                <w:rFonts w:ascii="標楷體" w:eastAsia="標楷體" w:hAnsi="標楷體"/>
                <w:sz w:val="28"/>
              </w:rPr>
              <w:lastRenderedPageBreak/>
              <w:t>「行政院函送業經簽署之駐美國台北經濟文化代表處與美國在台協會關於臺灣與美國間貿易協定中、英文本影本案」通過附帶決議第5項之說明，請查照案。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lastRenderedPageBreak/>
              <w:t>勞動部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10-8-8 </w:t>
            </w:r>
            <w:r w:rsidRPr="00F02ECD">
              <w:rPr>
                <w:rFonts w:ascii="標楷體" w:eastAsia="標楷體" w:hAnsi="標楷體"/>
                <w:sz w:val="28"/>
              </w:rPr>
              <w:lastRenderedPageBreak/>
              <w:t>(112.11.17)</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lastRenderedPageBreak/>
              <w:t>112年12</w:t>
            </w:r>
            <w:r w:rsidRPr="00F02ECD">
              <w:rPr>
                <w:rFonts w:ascii="標楷體" w:eastAsia="標楷體" w:hAnsi="標楷體"/>
                <w:sz w:val="28"/>
              </w:rPr>
              <w:lastRenderedPageBreak/>
              <w:t xml:space="preserve">月1日台立議字第1120703752號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53</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經濟部函送「綜合商品零售業個人資料檔案安全維護管理辦法」，請查照案。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10-8-9 (112.11.24)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112年12月7日台立議字第1120703891號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54</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經濟部函，為「水源供應短缺之虞地區使用再生水辦法」名稱修正為「開發單位使用再生水辦法」，並修正條文，請查照案。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10-8-9 (112.11.24)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112年12月7日台立議字第1120703892號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55</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經濟部、財政部函送「公司前瞻創新研究發展及先進製程設備支出適用投資抵減辦法」，請查照案。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經濟部、財政部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10-8-9 (112.11.24)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112年12月7日台立議字第1120703896號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56</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經濟部函，為本院修正再生能源發展條例部分條文通過附帶決議，檢送「我國地熱能發展方針規劃」書面報告，請查照案。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10-8-9 (112.11.24)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112年12月7日台立議字第1120703893號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57</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經濟部函，為修正「汽電共生系統實施辦法」第十二條及第十八條條文，請查照案。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10-8-9 (112.11.24)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112年12月7日台立議字第1120703894號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58</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經濟部函，為修正「戰略性高科技貨品種類、特定戰略性高科技貨品種類及輸出管制地區」之「軍商兩用貨品及技術出口管制清單」及「一般軍用貨品清單」，請查照案。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10-8-9 (112.11.24)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112年12月7日台立議字第1120703895號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lastRenderedPageBreak/>
              <w:t>59</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農業部函，為修正「森林保護辦法」部分條文，請查照案。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農業部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10-8-9 (112.11.24)</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112年12月7日台立議字第1120703897號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60</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農業部函，為「行政院農業委員會農田水利署苗栗管理處農田水利事業區域」名稱修正為「農業部農田水利署苗栗管理處農田水利事業區域」，並修正事業區域，請查照案。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農業部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10-8-10 (112.12.01)</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112年12月13日台立議字第1120704077號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61</w:t>
            </w:r>
          </w:p>
        </w:tc>
        <w:tc>
          <w:tcPr>
            <w:tcW w:w="307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經濟部函，為修正「一定契約容量以上之電力用戶應設置再生能源發電設備管理辦法」部分條文，請查照案。</w:t>
            </w:r>
          </w:p>
        </w:tc>
        <w:tc>
          <w:tcPr>
            <w:tcW w:w="1242"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經濟部</w:t>
            </w:r>
          </w:p>
        </w:tc>
        <w:tc>
          <w:tcPr>
            <w:tcW w:w="175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10-8-10 (112.12.01)</w:t>
            </w:r>
          </w:p>
        </w:tc>
        <w:tc>
          <w:tcPr>
            <w:tcW w:w="1616" w:type="dxa"/>
          </w:tcPr>
          <w:p w:rsidR="00F02ECD" w:rsidRPr="00F02ECD" w:rsidRDefault="00F02ECD" w:rsidP="00F02ECD">
            <w:pPr>
              <w:spacing w:line="360" w:lineRule="exact"/>
              <w:rPr>
                <w:rFonts w:ascii="標楷體" w:eastAsia="標楷體" w:hAnsi="標楷體"/>
                <w:sz w:val="28"/>
              </w:rPr>
            </w:pPr>
            <w:r w:rsidRPr="00F02ECD">
              <w:rPr>
                <w:rFonts w:ascii="標楷體" w:eastAsia="標楷體" w:hAnsi="標楷體"/>
                <w:sz w:val="28"/>
              </w:rPr>
              <w:t xml:space="preserve">112年12月13日台立議字第1120704076號 </w:t>
            </w:r>
          </w:p>
        </w:tc>
        <w:tc>
          <w:tcPr>
            <w:tcW w:w="1616" w:type="dxa"/>
          </w:tcPr>
          <w:p w:rsidR="00F02ECD" w:rsidRPr="00F02ECD" w:rsidRDefault="00F02ECD" w:rsidP="00F02ECD">
            <w:pPr>
              <w:spacing w:line="360" w:lineRule="exact"/>
              <w:rPr>
                <w:rFonts w:ascii="標楷體" w:eastAsia="標楷體" w:hAnsi="標楷體"/>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62</w:t>
            </w:r>
          </w:p>
        </w:tc>
        <w:tc>
          <w:tcPr>
            <w:tcW w:w="307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經濟部函送「加氫站銷售氫燃料經營許可管理辦法」，請查照案。</w:t>
            </w:r>
          </w:p>
        </w:tc>
        <w:tc>
          <w:tcPr>
            <w:tcW w:w="1242"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經濟部</w:t>
            </w:r>
          </w:p>
        </w:tc>
        <w:tc>
          <w:tcPr>
            <w:tcW w:w="175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10-8-11 (112.12.08)</w:t>
            </w:r>
          </w:p>
        </w:tc>
        <w:tc>
          <w:tcPr>
            <w:tcW w:w="161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 xml:space="preserve">112年12月27日台立議字第1120704262號 </w:t>
            </w:r>
          </w:p>
        </w:tc>
        <w:tc>
          <w:tcPr>
            <w:tcW w:w="1616" w:type="dxa"/>
          </w:tcPr>
          <w:p w:rsidR="00F02ECD" w:rsidRPr="00F02ECD" w:rsidRDefault="00F02ECD" w:rsidP="00F02ECD">
            <w:pPr>
              <w:spacing w:line="360" w:lineRule="exact"/>
              <w:rPr>
                <w:rFonts w:ascii="標楷體" w:eastAsia="標楷體" w:hAnsi="標楷體"/>
                <w:color w:val="C00000"/>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63</w:t>
            </w:r>
          </w:p>
        </w:tc>
        <w:tc>
          <w:tcPr>
            <w:tcW w:w="307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經濟部函，為修正「地熱能發電示範獎勵辦法」第二條條文及第八條附件五、第九條附件六，請查照案。</w:t>
            </w:r>
          </w:p>
        </w:tc>
        <w:tc>
          <w:tcPr>
            <w:tcW w:w="1242"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經濟部</w:t>
            </w:r>
          </w:p>
        </w:tc>
        <w:tc>
          <w:tcPr>
            <w:tcW w:w="175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10-8-11 (112.12.08)</w:t>
            </w:r>
          </w:p>
        </w:tc>
        <w:tc>
          <w:tcPr>
            <w:tcW w:w="161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 xml:space="preserve">112年12月27日台立議字第1120704263號 </w:t>
            </w:r>
          </w:p>
        </w:tc>
        <w:tc>
          <w:tcPr>
            <w:tcW w:w="1616" w:type="dxa"/>
          </w:tcPr>
          <w:p w:rsidR="00F02ECD" w:rsidRPr="00F02ECD" w:rsidRDefault="00F02ECD" w:rsidP="00F02ECD">
            <w:pPr>
              <w:spacing w:line="360" w:lineRule="exact"/>
              <w:rPr>
                <w:rFonts w:ascii="標楷體" w:eastAsia="標楷體" w:hAnsi="標楷體"/>
                <w:color w:val="C00000"/>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64</w:t>
            </w:r>
          </w:p>
        </w:tc>
        <w:tc>
          <w:tcPr>
            <w:tcW w:w="307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經濟部函，為「電業及公用天然氣事業個人資料檔案安全維護管理辦法」名稱修正為「電業與公用天然氣事業及加油站業個人資料檔案安全維護管理辦法」，並修正第二條及第十六條條文，請查照案。</w:t>
            </w:r>
          </w:p>
        </w:tc>
        <w:tc>
          <w:tcPr>
            <w:tcW w:w="1242"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經濟部</w:t>
            </w:r>
          </w:p>
        </w:tc>
        <w:tc>
          <w:tcPr>
            <w:tcW w:w="175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10-8-11 (112.12.08)</w:t>
            </w:r>
          </w:p>
        </w:tc>
        <w:tc>
          <w:tcPr>
            <w:tcW w:w="161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 xml:space="preserve">112年12月27日台立議字第1120704264號 </w:t>
            </w:r>
          </w:p>
        </w:tc>
        <w:tc>
          <w:tcPr>
            <w:tcW w:w="1616" w:type="dxa"/>
          </w:tcPr>
          <w:p w:rsidR="00F02ECD" w:rsidRPr="00F02ECD" w:rsidRDefault="00F02ECD" w:rsidP="00F02ECD">
            <w:pPr>
              <w:spacing w:line="360" w:lineRule="exact"/>
              <w:rPr>
                <w:rFonts w:ascii="標楷體" w:eastAsia="標楷體" w:hAnsi="標楷體"/>
                <w:color w:val="C00000"/>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65</w:t>
            </w:r>
          </w:p>
        </w:tc>
        <w:tc>
          <w:tcPr>
            <w:tcW w:w="307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農業部函，為修正「農業用地變更回饋金撥繳及分配利用辦法」第八條條文，請查照案。</w:t>
            </w:r>
          </w:p>
        </w:tc>
        <w:tc>
          <w:tcPr>
            <w:tcW w:w="1242"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農業部</w:t>
            </w:r>
          </w:p>
        </w:tc>
        <w:tc>
          <w:tcPr>
            <w:tcW w:w="175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10-8-12 (112.12.15)</w:t>
            </w:r>
          </w:p>
        </w:tc>
        <w:tc>
          <w:tcPr>
            <w:tcW w:w="161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 xml:space="preserve">112年12月28日台立議字第1120704415號 </w:t>
            </w:r>
          </w:p>
        </w:tc>
        <w:tc>
          <w:tcPr>
            <w:tcW w:w="1616" w:type="dxa"/>
          </w:tcPr>
          <w:p w:rsidR="00F02ECD" w:rsidRPr="00F02ECD" w:rsidRDefault="00F02ECD" w:rsidP="00F02ECD">
            <w:pPr>
              <w:spacing w:line="360" w:lineRule="exact"/>
              <w:rPr>
                <w:rFonts w:ascii="標楷體" w:eastAsia="標楷體" w:hAnsi="標楷體"/>
                <w:color w:val="C00000"/>
                <w:sz w:val="28"/>
              </w:rPr>
            </w:pPr>
          </w:p>
        </w:tc>
      </w:tr>
      <w:tr w:rsidR="00F02ECD" w:rsidRPr="00F02ECD" w:rsidTr="00F02ECD">
        <w:tc>
          <w:tcPr>
            <w:tcW w:w="752"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lastRenderedPageBreak/>
              <w:t>66</w:t>
            </w:r>
          </w:p>
        </w:tc>
        <w:tc>
          <w:tcPr>
            <w:tcW w:w="307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經濟部函，為修正「採取土石免申辦土石採取許可管理辦法」，請查照案。</w:t>
            </w:r>
          </w:p>
        </w:tc>
        <w:tc>
          <w:tcPr>
            <w:tcW w:w="1242"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經濟部</w:t>
            </w:r>
          </w:p>
        </w:tc>
        <w:tc>
          <w:tcPr>
            <w:tcW w:w="175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10-8-12 (112.12.15)</w:t>
            </w:r>
          </w:p>
        </w:tc>
        <w:tc>
          <w:tcPr>
            <w:tcW w:w="1616" w:type="dxa"/>
          </w:tcPr>
          <w:p w:rsidR="00F02ECD" w:rsidRPr="00F02ECD" w:rsidRDefault="00F02ECD" w:rsidP="00F02ECD">
            <w:pPr>
              <w:spacing w:line="360" w:lineRule="exact"/>
              <w:rPr>
                <w:rFonts w:ascii="標楷體" w:eastAsia="標楷體" w:hAnsi="標楷體"/>
                <w:color w:val="C00000"/>
                <w:sz w:val="28"/>
              </w:rPr>
            </w:pPr>
            <w:r w:rsidRPr="00F02ECD">
              <w:rPr>
                <w:rFonts w:ascii="標楷體" w:eastAsia="標楷體" w:hAnsi="標楷體"/>
                <w:color w:val="C00000"/>
                <w:sz w:val="28"/>
              </w:rPr>
              <w:t xml:space="preserve">112年12月28日台立議字第1120704414號 </w:t>
            </w:r>
          </w:p>
        </w:tc>
        <w:tc>
          <w:tcPr>
            <w:tcW w:w="1616" w:type="dxa"/>
          </w:tcPr>
          <w:p w:rsidR="00F02ECD" w:rsidRPr="00F02ECD" w:rsidRDefault="00F02ECD" w:rsidP="00F02ECD">
            <w:pPr>
              <w:spacing w:line="360" w:lineRule="exact"/>
              <w:rPr>
                <w:rFonts w:ascii="標楷體" w:eastAsia="標楷體" w:hAnsi="標楷體"/>
                <w:color w:val="C00000"/>
                <w:sz w:val="28"/>
              </w:rPr>
            </w:pPr>
          </w:p>
        </w:tc>
      </w:tr>
    </w:tbl>
    <w:p w:rsidR="00F02ECD" w:rsidRPr="00F02ECD" w:rsidRDefault="00F02ECD" w:rsidP="00F02ECD">
      <w:pPr>
        <w:spacing w:line="360" w:lineRule="exact"/>
        <w:rPr>
          <w:rFonts w:ascii="標楷體" w:eastAsia="標楷體" w:hAnsi="標楷體"/>
          <w:b/>
          <w:sz w:val="28"/>
        </w:rPr>
      </w:pPr>
    </w:p>
    <w:sectPr w:rsidR="00F02ECD" w:rsidRPr="00F02ECD" w:rsidSect="00F02ECD">
      <w:footerReference w:type="default" r:id="rId6"/>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032E" w:rsidRDefault="0052032E" w:rsidP="00F02ECD">
      <w:r>
        <w:separator/>
      </w:r>
    </w:p>
  </w:endnote>
  <w:endnote w:type="continuationSeparator" w:id="0">
    <w:p w:rsidR="0052032E" w:rsidRDefault="0052032E" w:rsidP="00F02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2ECD" w:rsidRDefault="00F02ECD" w:rsidP="00001AD0">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6</w:t>
    </w:r>
    <w:r>
      <w:rPr>
        <w:rStyle w:val="a8"/>
      </w:rPr>
      <w:fldChar w:fldCharType="end"/>
    </w:r>
  </w:p>
  <w:p w:rsidR="00F02ECD" w:rsidRDefault="00F02EC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032E" w:rsidRDefault="0052032E" w:rsidP="00F02ECD">
      <w:r>
        <w:separator/>
      </w:r>
    </w:p>
  </w:footnote>
  <w:footnote w:type="continuationSeparator" w:id="0">
    <w:p w:rsidR="0052032E" w:rsidRDefault="0052032E" w:rsidP="00F02E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bordersDoNotSurroundHeader/>
  <w:bordersDoNotSurroundFooter/>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ECD"/>
    <w:rsid w:val="00473968"/>
    <w:rsid w:val="0052032E"/>
    <w:rsid w:val="00F02EC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8F611"/>
  <w15:chartTrackingRefBased/>
  <w15:docId w15:val="{411E31EA-23C4-450C-8D7F-1E56E5697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02E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02ECD"/>
    <w:pPr>
      <w:tabs>
        <w:tab w:val="center" w:pos="4153"/>
        <w:tab w:val="right" w:pos="8306"/>
      </w:tabs>
      <w:snapToGrid w:val="0"/>
    </w:pPr>
    <w:rPr>
      <w:sz w:val="20"/>
      <w:szCs w:val="20"/>
    </w:rPr>
  </w:style>
  <w:style w:type="character" w:customStyle="1" w:styleId="a5">
    <w:name w:val="頁首 字元"/>
    <w:basedOn w:val="a0"/>
    <w:link w:val="a4"/>
    <w:uiPriority w:val="99"/>
    <w:rsid w:val="00F02ECD"/>
    <w:rPr>
      <w:sz w:val="20"/>
      <w:szCs w:val="20"/>
    </w:rPr>
  </w:style>
  <w:style w:type="paragraph" w:styleId="a6">
    <w:name w:val="footer"/>
    <w:basedOn w:val="a"/>
    <w:link w:val="a7"/>
    <w:uiPriority w:val="99"/>
    <w:unhideWhenUsed/>
    <w:rsid w:val="00F02ECD"/>
    <w:pPr>
      <w:tabs>
        <w:tab w:val="center" w:pos="4153"/>
        <w:tab w:val="right" w:pos="8306"/>
      </w:tabs>
      <w:snapToGrid w:val="0"/>
    </w:pPr>
    <w:rPr>
      <w:sz w:val="20"/>
      <w:szCs w:val="20"/>
    </w:rPr>
  </w:style>
  <w:style w:type="character" w:customStyle="1" w:styleId="a7">
    <w:name w:val="頁尾 字元"/>
    <w:basedOn w:val="a0"/>
    <w:link w:val="a6"/>
    <w:uiPriority w:val="99"/>
    <w:rsid w:val="00F02ECD"/>
    <w:rPr>
      <w:sz w:val="20"/>
      <w:szCs w:val="20"/>
    </w:rPr>
  </w:style>
  <w:style w:type="character" w:styleId="a8">
    <w:name w:val="page number"/>
    <w:basedOn w:val="a0"/>
    <w:uiPriority w:val="99"/>
    <w:semiHidden/>
    <w:unhideWhenUsed/>
    <w:rsid w:val="00F02E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1162</Words>
  <Characters>6626</Characters>
  <Application>Microsoft Office Word</Application>
  <DocSecurity>0</DocSecurity>
  <Lines>55</Lines>
  <Paragraphs>15</Paragraphs>
  <ScaleCrop>false</ScaleCrop>
  <Company/>
  <LinksUpToDate>false</LinksUpToDate>
  <CharactersWithSpaces>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1</cp:revision>
  <dcterms:created xsi:type="dcterms:W3CDTF">2024-01-05T02:31:00Z</dcterms:created>
  <dcterms:modified xsi:type="dcterms:W3CDTF">2024-01-05T02:35:00Z</dcterms:modified>
</cp:coreProperties>
</file>