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6FDB" w:rsidRPr="00167F57" w:rsidRDefault="009F5197" w:rsidP="00167F57">
      <w:pPr>
        <w:spacing w:line="480" w:lineRule="exact"/>
        <w:ind w:leftChars="0" w:left="0" w:right="-6" w:firstLineChars="0" w:firstLine="0"/>
        <w:rPr>
          <w:rFonts w:hAnsi="標楷體" w:hint="eastAsia"/>
          <w:b/>
          <w:bCs/>
          <w:color w:val="000000"/>
          <w:spacing w:val="-2"/>
          <w:sz w:val="36"/>
        </w:rPr>
      </w:pPr>
      <w:bookmarkStart w:id="0" w:name="_GoBack"/>
      <w:bookmarkEnd w:id="0"/>
      <w:r w:rsidRPr="00167F57">
        <w:rPr>
          <w:rFonts w:hAnsi="標楷體" w:hint="eastAsia"/>
          <w:b/>
          <w:bCs/>
          <w:color w:val="000000"/>
          <w:spacing w:val="-2"/>
          <w:sz w:val="36"/>
        </w:rPr>
        <w:t>臺</w:t>
      </w:r>
      <w:r w:rsidR="00726D48" w:rsidRPr="00167F57">
        <w:rPr>
          <w:rFonts w:hAnsi="標楷體" w:hint="eastAsia"/>
          <w:b/>
          <w:bCs/>
          <w:color w:val="000000"/>
          <w:spacing w:val="-2"/>
          <w:sz w:val="36"/>
        </w:rPr>
        <w:t>灣港務股份有限公司</w:t>
      </w:r>
      <w:r w:rsidR="00380DAA" w:rsidRPr="00167F57">
        <w:rPr>
          <w:rFonts w:hAnsi="標楷體" w:hint="eastAsia"/>
          <w:b/>
          <w:bCs/>
          <w:color w:val="000000"/>
          <w:spacing w:val="-2"/>
          <w:sz w:val="36"/>
        </w:rPr>
        <w:t>10</w:t>
      </w:r>
      <w:r w:rsidR="008059E3">
        <w:rPr>
          <w:rFonts w:hAnsi="標楷體" w:hint="eastAsia"/>
          <w:b/>
          <w:bCs/>
          <w:color w:val="000000"/>
          <w:spacing w:val="-2"/>
          <w:sz w:val="36"/>
        </w:rPr>
        <w:t>9</w:t>
      </w:r>
      <w:r w:rsidR="00F606E7" w:rsidRPr="00167F57">
        <w:rPr>
          <w:rFonts w:hAnsi="標楷體" w:hint="eastAsia"/>
          <w:b/>
          <w:bCs/>
          <w:color w:val="000000"/>
          <w:spacing w:val="-2"/>
          <w:sz w:val="36"/>
        </w:rPr>
        <w:t>年度營業決算評估報告</w:t>
      </w:r>
      <w:r w:rsidR="00696B4A" w:rsidRPr="00167F57">
        <w:rPr>
          <w:rFonts w:hAnsi="標楷體" w:hint="eastAsia"/>
          <w:b/>
          <w:bCs/>
          <w:color w:val="000000"/>
          <w:spacing w:val="-2"/>
          <w:sz w:val="36"/>
        </w:rPr>
        <w:t>目錄</w:t>
      </w:r>
    </w:p>
    <w:p w:rsidR="00F606E7" w:rsidRPr="008908AE" w:rsidRDefault="00696B4A" w:rsidP="00167F57">
      <w:pPr>
        <w:spacing w:line="480" w:lineRule="exact"/>
        <w:ind w:leftChars="0" w:left="0" w:right="-6" w:firstLineChars="0" w:firstLine="0"/>
        <w:jc w:val="right"/>
        <w:rPr>
          <w:rFonts w:hAnsi="標楷體"/>
          <w:b/>
          <w:bCs/>
          <w:color w:val="000000"/>
          <w:sz w:val="24"/>
          <w:szCs w:val="24"/>
        </w:rPr>
      </w:pPr>
      <w:r w:rsidRPr="003A70B8">
        <w:rPr>
          <w:rFonts w:hAnsi="標楷體" w:hint="eastAsia"/>
          <w:b/>
          <w:bCs/>
          <w:color w:val="000000"/>
          <w:sz w:val="36"/>
        </w:rPr>
        <w:t xml:space="preserve"> </w:t>
      </w:r>
      <w:r w:rsidRPr="008908AE">
        <w:rPr>
          <w:rFonts w:hAnsi="標楷體" w:hint="eastAsia"/>
          <w:b/>
          <w:bCs/>
          <w:color w:val="000000"/>
          <w:sz w:val="24"/>
          <w:szCs w:val="24"/>
        </w:rPr>
        <w:t>頁次</w:t>
      </w:r>
    </w:p>
    <w:p w:rsidR="00024270" w:rsidRPr="00F7792B" w:rsidRDefault="00F606E7">
      <w:pPr>
        <w:pStyle w:val="22"/>
        <w:rPr>
          <w:rFonts w:ascii="Calibri" w:eastAsia="新細明體" w:hAnsi="Calibri" w:cs="Times New Roman"/>
          <w:snapToGrid/>
          <w:szCs w:val="22"/>
        </w:rPr>
      </w:pPr>
      <w:r w:rsidRPr="006D3079">
        <w:fldChar w:fldCharType="begin"/>
      </w:r>
      <w:r w:rsidRPr="006D3079">
        <w:instrText xml:space="preserve"> TOC \h \z \t "第三層(14號字),3,第二層,2,第二層(14號字),2,第一層,1,第一層(14號字),1,第一層(16號字),1" \* MERGEFORMAT </w:instrText>
      </w:r>
      <w:r w:rsidRPr="006D3079">
        <w:fldChar w:fldCharType="separate"/>
      </w:r>
      <w:hyperlink w:anchor="_Toc96008979" w:history="1">
        <w:r w:rsidR="00024270" w:rsidRPr="000C2C90">
          <w:rPr>
            <w:rStyle w:val="ae"/>
            <w:rFonts w:hint="eastAsia"/>
          </w:rPr>
          <w:t>一、因鄰近貨櫃港口崛起，競爭加劇，以及疫情影響，裝卸業務多年未達營運目標，允宜持續研謀改善，以提升競爭力</w:t>
        </w:r>
        <w:r w:rsidR="00024270">
          <w:rPr>
            <w:webHidden/>
          </w:rPr>
          <w:tab/>
        </w:r>
        <w:r w:rsidR="00024270">
          <w:rPr>
            <w:webHidden/>
          </w:rPr>
          <w:fldChar w:fldCharType="begin"/>
        </w:r>
        <w:r w:rsidR="00024270">
          <w:rPr>
            <w:webHidden/>
          </w:rPr>
          <w:instrText xml:space="preserve"> PAGEREF _Toc96008979 \h </w:instrText>
        </w:r>
        <w:r w:rsidR="00024270">
          <w:rPr>
            <w:webHidden/>
          </w:rPr>
        </w:r>
        <w:r w:rsidR="00024270">
          <w:rPr>
            <w:webHidden/>
          </w:rPr>
          <w:fldChar w:fldCharType="separate"/>
        </w:r>
        <w:r w:rsidR="00024270">
          <w:rPr>
            <w:webHidden/>
          </w:rPr>
          <w:t>1</w:t>
        </w:r>
        <w:r w:rsidR="00024270">
          <w:rPr>
            <w:webHidden/>
          </w:rPr>
          <w:fldChar w:fldCharType="end"/>
        </w:r>
      </w:hyperlink>
    </w:p>
    <w:p w:rsidR="00024270" w:rsidRPr="00F7792B" w:rsidRDefault="00024270">
      <w:pPr>
        <w:pStyle w:val="22"/>
        <w:rPr>
          <w:rFonts w:ascii="Calibri" w:eastAsia="新細明體" w:hAnsi="Calibri" w:cs="Times New Roman"/>
          <w:snapToGrid/>
          <w:szCs w:val="22"/>
        </w:rPr>
      </w:pPr>
      <w:hyperlink w:anchor="_Toc96008980" w:history="1">
        <w:r w:rsidRPr="000C2C90">
          <w:rPr>
            <w:rStyle w:val="ae"/>
            <w:rFonts w:hint="eastAsia"/>
          </w:rPr>
          <w:t>二、高雄港客運專區建設計畫經</w:t>
        </w:r>
        <w:r w:rsidRPr="000C2C90">
          <w:rPr>
            <w:rStyle w:val="ae"/>
          </w:rPr>
          <w:t>5</w:t>
        </w:r>
        <w:r w:rsidRPr="000C2C90">
          <w:rPr>
            <w:rStyle w:val="ae"/>
            <w:rFonts w:hint="eastAsia"/>
          </w:rPr>
          <w:t>次修正，允宜積極控管進度，俾提升高雄港之旅運設施，帶動港埠觀光遊憩產業</w:t>
        </w:r>
        <w:r>
          <w:rPr>
            <w:webHidden/>
          </w:rPr>
          <w:tab/>
        </w:r>
        <w:r>
          <w:rPr>
            <w:webHidden/>
          </w:rPr>
          <w:fldChar w:fldCharType="begin"/>
        </w:r>
        <w:r>
          <w:rPr>
            <w:webHidden/>
          </w:rPr>
          <w:instrText xml:space="preserve"> PAGEREF _Toc96008980 \h </w:instrText>
        </w:r>
        <w:r>
          <w:rPr>
            <w:webHidden/>
          </w:rPr>
        </w:r>
        <w:r>
          <w:rPr>
            <w:webHidden/>
          </w:rPr>
          <w:fldChar w:fldCharType="separate"/>
        </w:r>
        <w:r>
          <w:rPr>
            <w:webHidden/>
          </w:rPr>
          <w:t>3</w:t>
        </w:r>
        <w:r>
          <w:rPr>
            <w:webHidden/>
          </w:rPr>
          <w:fldChar w:fldCharType="end"/>
        </w:r>
      </w:hyperlink>
    </w:p>
    <w:p w:rsidR="00024270" w:rsidRPr="00F7792B" w:rsidRDefault="00024270">
      <w:pPr>
        <w:pStyle w:val="22"/>
        <w:rPr>
          <w:rFonts w:ascii="Calibri" w:eastAsia="新細明體" w:hAnsi="Calibri" w:cs="Times New Roman"/>
          <w:snapToGrid/>
          <w:szCs w:val="22"/>
        </w:rPr>
      </w:pPr>
      <w:hyperlink w:anchor="_Toc96008981" w:history="1">
        <w:r w:rsidRPr="000C2C90">
          <w:rPr>
            <w:rStyle w:val="ae"/>
            <w:rFonts w:hint="eastAsia"/>
          </w:rPr>
          <w:t>三、港勤公司購置船舶預算執行未如預期，規劃評估似欠周妥，允宜檢討改善</w:t>
        </w:r>
        <w:r>
          <w:rPr>
            <w:webHidden/>
          </w:rPr>
          <w:tab/>
        </w:r>
        <w:r>
          <w:rPr>
            <w:webHidden/>
          </w:rPr>
          <w:fldChar w:fldCharType="begin"/>
        </w:r>
        <w:r>
          <w:rPr>
            <w:webHidden/>
          </w:rPr>
          <w:instrText xml:space="preserve"> PAGEREF _Toc96008981 \h </w:instrText>
        </w:r>
        <w:r>
          <w:rPr>
            <w:webHidden/>
          </w:rPr>
        </w:r>
        <w:r>
          <w:rPr>
            <w:webHidden/>
          </w:rPr>
          <w:fldChar w:fldCharType="separate"/>
        </w:r>
        <w:r>
          <w:rPr>
            <w:webHidden/>
          </w:rPr>
          <w:t>4</w:t>
        </w:r>
        <w:r>
          <w:rPr>
            <w:webHidden/>
          </w:rPr>
          <w:fldChar w:fldCharType="end"/>
        </w:r>
      </w:hyperlink>
    </w:p>
    <w:p w:rsidR="00F606E7" w:rsidRPr="003A70B8" w:rsidRDefault="00F606E7" w:rsidP="00A327E1">
      <w:pPr>
        <w:tabs>
          <w:tab w:val="right" w:leader="hyphen" w:pos="8567"/>
          <w:tab w:val="right" w:leader="hyphen" w:pos="8665"/>
        </w:tabs>
        <w:ind w:leftChars="0" w:left="489" w:rightChars="175" w:right="496" w:hangingChars="201" w:hanging="489"/>
        <w:rPr>
          <w:color w:val="000000"/>
        </w:rPr>
        <w:sectPr w:rsidR="00F606E7" w:rsidRPr="003A70B8" w:rsidSect="006C32E2">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16" w:charSpace="716"/>
        </w:sectPr>
      </w:pPr>
      <w:r w:rsidRPr="006D3079">
        <w:rPr>
          <w:rFonts w:hAnsi="標楷體"/>
          <w:color w:val="000000"/>
          <w:sz w:val="24"/>
          <w:szCs w:val="24"/>
        </w:rPr>
        <w:fldChar w:fldCharType="end"/>
      </w:r>
    </w:p>
    <w:p w:rsidR="00C017DD" w:rsidRPr="006235C9" w:rsidRDefault="00C017DD" w:rsidP="00726D48">
      <w:pPr>
        <w:spacing w:line="480" w:lineRule="exact"/>
        <w:ind w:leftChars="0" w:left="0" w:right="-146" w:firstLineChars="0" w:firstLine="0"/>
        <w:rPr>
          <w:rFonts w:hAnsi="標楷體" w:hint="eastAsia"/>
          <w:b/>
          <w:bCs/>
          <w:color w:val="000000"/>
          <w:sz w:val="36"/>
        </w:rPr>
      </w:pPr>
      <w:bookmarkStart w:id="1" w:name="_Toc515182153"/>
      <w:bookmarkStart w:id="2" w:name="_Toc60191644"/>
      <w:bookmarkStart w:id="3" w:name="_Toc27444258"/>
      <w:bookmarkStart w:id="4" w:name="_Toc61115175"/>
      <w:bookmarkStart w:id="5" w:name="_Toc92186426"/>
      <w:bookmarkStart w:id="6" w:name="_Toc96427247"/>
      <w:bookmarkStart w:id="7" w:name="_Toc97040678"/>
      <w:r w:rsidRPr="00726D48">
        <w:rPr>
          <w:rFonts w:hAnsi="標楷體" w:hint="eastAsia"/>
          <w:b/>
          <w:bCs/>
          <w:color w:val="000000"/>
          <w:sz w:val="36"/>
        </w:rPr>
        <w:lastRenderedPageBreak/>
        <w:t>臺灣港務股份有限公司</w:t>
      </w:r>
      <w:r>
        <w:rPr>
          <w:rFonts w:hAnsi="標楷體" w:hint="eastAsia"/>
          <w:b/>
          <w:bCs/>
          <w:color w:val="000000"/>
          <w:sz w:val="36"/>
        </w:rPr>
        <w:t>109</w:t>
      </w:r>
      <w:r w:rsidRPr="00726D48">
        <w:rPr>
          <w:rFonts w:hAnsi="標楷體" w:hint="eastAsia"/>
          <w:b/>
          <w:bCs/>
          <w:color w:val="000000"/>
          <w:sz w:val="36"/>
        </w:rPr>
        <w:t>年度營業決算評估報告</w:t>
      </w:r>
    </w:p>
    <w:p w:rsidR="00C017DD" w:rsidRDefault="00C017DD" w:rsidP="00C017DD">
      <w:pPr>
        <w:pStyle w:val="14"/>
        <w:ind w:left="568" w:hanging="568"/>
      </w:pPr>
      <w:bookmarkStart w:id="8" w:name="_Toc96427248"/>
      <w:bookmarkStart w:id="9" w:name="_Toc97040679"/>
      <w:bookmarkStart w:id="10" w:name="_Toc147031011"/>
      <w:bookmarkStart w:id="11" w:name="_Toc277684682"/>
      <w:bookmarkStart w:id="12" w:name="_Toc279072980"/>
      <w:bookmarkStart w:id="13" w:name="_Toc403037969"/>
      <w:bookmarkStart w:id="14" w:name="_Toc433377090"/>
      <w:bookmarkStart w:id="15" w:name="_Toc466622932"/>
      <w:bookmarkStart w:id="16" w:name="_Toc431661176"/>
      <w:bookmarkStart w:id="17" w:name="_Toc431725917"/>
      <w:bookmarkStart w:id="18" w:name="_Toc499305075"/>
      <w:bookmarkStart w:id="19" w:name="_Toc500925830"/>
      <w:bookmarkStart w:id="20" w:name="_Toc496025580"/>
      <w:bookmarkStart w:id="21" w:name="_Toc499305061"/>
      <w:bookmarkStart w:id="22" w:name="_Toc500925827"/>
      <w:bookmarkStart w:id="23" w:name="_Toc511204946"/>
      <w:bookmarkStart w:id="24" w:name="_Toc530470195"/>
      <w:bookmarkStart w:id="25" w:name="_Toc33172149"/>
      <w:bookmarkStart w:id="26" w:name="_Toc96008979"/>
      <w:bookmarkEnd w:id="3"/>
      <w:bookmarkEnd w:id="4"/>
      <w:bookmarkEnd w:id="5"/>
      <w:bookmarkEnd w:id="6"/>
      <w:bookmarkEnd w:id="7"/>
      <w:r>
        <w:rPr>
          <w:rFonts w:hint="eastAsia"/>
        </w:rPr>
        <w:t>一、</w:t>
      </w:r>
      <w:r w:rsidR="00D42C5C">
        <w:rPr>
          <w:rFonts w:hint="eastAsia"/>
        </w:rPr>
        <w:t>因鄰近貨櫃港口崛起，競爭加劇，以及疫情影響，</w:t>
      </w:r>
      <w:r>
        <w:rPr>
          <w:rFonts w:hint="eastAsia"/>
        </w:rPr>
        <w:t>裝卸業務多年未達營運目標，允宜</w:t>
      </w:r>
      <w:bookmarkEnd w:id="25"/>
      <w:r w:rsidR="00902F08">
        <w:rPr>
          <w:rFonts w:hint="eastAsia"/>
        </w:rPr>
        <w:t>持續</w:t>
      </w:r>
      <w:r w:rsidR="00D42C5C">
        <w:rPr>
          <w:rFonts w:hint="eastAsia"/>
        </w:rPr>
        <w:t>研謀改善</w:t>
      </w:r>
      <w:r w:rsidR="00902F08" w:rsidRPr="00902F08">
        <w:rPr>
          <w:rFonts w:hint="eastAsia"/>
        </w:rPr>
        <w:t>，以提升競爭力</w:t>
      </w:r>
      <w:bookmarkEnd w:id="26"/>
    </w:p>
    <w:p w:rsidR="00C017DD" w:rsidRPr="005A5D75" w:rsidRDefault="00C017DD" w:rsidP="00C017DD">
      <w:pPr>
        <w:ind w:left="567" w:firstLine="567"/>
        <w:rPr>
          <w:rFonts w:hint="eastAsia"/>
          <w:color w:val="000000"/>
        </w:rPr>
      </w:pPr>
      <w:r w:rsidRPr="005A5D75">
        <w:rPr>
          <w:rFonts w:hint="eastAsia"/>
          <w:color w:val="000000"/>
        </w:rPr>
        <w:t>臺灣港務股份有限公司(以下簡稱港務公司)10</w:t>
      </w:r>
      <w:r w:rsidR="0083714D">
        <w:rPr>
          <w:rFonts w:hint="eastAsia"/>
          <w:color w:val="000000"/>
        </w:rPr>
        <w:t>9</w:t>
      </w:r>
      <w:r w:rsidRPr="005A5D75">
        <w:rPr>
          <w:rFonts w:hint="eastAsia"/>
          <w:color w:val="000000"/>
        </w:rPr>
        <w:t>年度</w:t>
      </w:r>
      <w:r w:rsidR="0054279C">
        <w:rPr>
          <w:rFonts w:hint="eastAsia"/>
          <w:color w:val="000000"/>
        </w:rPr>
        <w:t>「棧埠收入-裝卸收入」</w:t>
      </w:r>
      <w:r w:rsidR="0083714D" w:rsidRPr="005A5D75">
        <w:rPr>
          <w:rFonts w:hint="eastAsia"/>
          <w:color w:val="000000"/>
        </w:rPr>
        <w:t>決算</w:t>
      </w:r>
      <w:r w:rsidR="0083714D">
        <w:rPr>
          <w:rFonts w:hint="eastAsia"/>
          <w:color w:val="000000"/>
        </w:rPr>
        <w:t>數</w:t>
      </w:r>
      <w:r w:rsidR="00722E04">
        <w:rPr>
          <w:rFonts w:hint="eastAsia"/>
          <w:color w:val="000000"/>
        </w:rPr>
        <w:t>47</w:t>
      </w:r>
      <w:r w:rsidRPr="005A5D75">
        <w:rPr>
          <w:rFonts w:hint="eastAsia"/>
          <w:color w:val="000000"/>
        </w:rPr>
        <w:t>億</w:t>
      </w:r>
      <w:r w:rsidR="0083714D">
        <w:rPr>
          <w:color w:val="000000"/>
        </w:rPr>
        <w:t>3,096</w:t>
      </w:r>
      <w:r w:rsidRPr="005A5D75">
        <w:rPr>
          <w:rFonts w:hint="eastAsia"/>
          <w:color w:val="000000"/>
        </w:rPr>
        <w:t>萬</w:t>
      </w:r>
      <w:r w:rsidR="0083714D">
        <w:rPr>
          <w:rFonts w:hint="eastAsia"/>
          <w:color w:val="000000"/>
        </w:rPr>
        <w:t>3</w:t>
      </w:r>
      <w:r w:rsidRPr="005A5D75">
        <w:rPr>
          <w:rFonts w:hint="eastAsia"/>
          <w:color w:val="000000"/>
        </w:rPr>
        <w:t>千元</w:t>
      </w:r>
      <w:r>
        <w:rPr>
          <w:rFonts w:hint="eastAsia"/>
          <w:color w:val="000000"/>
        </w:rPr>
        <w:t>，</w:t>
      </w:r>
      <w:r w:rsidR="0054279C">
        <w:rPr>
          <w:rFonts w:hint="eastAsia"/>
          <w:color w:val="000000"/>
        </w:rPr>
        <w:t>「棧埠收入-貨櫃業務收入」</w:t>
      </w:r>
      <w:r w:rsidR="0083714D">
        <w:rPr>
          <w:rFonts w:hint="eastAsia"/>
          <w:color w:val="000000"/>
        </w:rPr>
        <w:t>決算數22億3,099萬8千元，</w:t>
      </w:r>
      <w:r w:rsidR="00737C99">
        <w:rPr>
          <w:rFonts w:hint="eastAsia"/>
          <w:color w:val="000000"/>
        </w:rPr>
        <w:t>以上</w:t>
      </w:r>
      <w:r w:rsidR="0083714D">
        <w:rPr>
          <w:rFonts w:hint="eastAsia"/>
          <w:color w:val="000000"/>
        </w:rPr>
        <w:t>裝卸業務收入決算數合計69億6,196萬1千元，</w:t>
      </w:r>
      <w:r>
        <w:rPr>
          <w:rFonts w:hint="eastAsia"/>
          <w:color w:val="000000"/>
        </w:rPr>
        <w:t>較預算</w:t>
      </w:r>
      <w:r w:rsidR="0083714D">
        <w:rPr>
          <w:rFonts w:hint="eastAsia"/>
          <w:color w:val="000000"/>
        </w:rPr>
        <w:t>數73</w:t>
      </w:r>
      <w:r>
        <w:rPr>
          <w:rFonts w:hint="eastAsia"/>
          <w:color w:val="000000"/>
        </w:rPr>
        <w:t>億</w:t>
      </w:r>
      <w:r w:rsidR="0083714D">
        <w:rPr>
          <w:rFonts w:hint="eastAsia"/>
          <w:color w:val="000000"/>
        </w:rPr>
        <w:t>5,374</w:t>
      </w:r>
      <w:r>
        <w:rPr>
          <w:rFonts w:hint="eastAsia"/>
          <w:color w:val="000000"/>
        </w:rPr>
        <w:t>萬</w:t>
      </w:r>
      <w:r w:rsidR="0083714D">
        <w:rPr>
          <w:rFonts w:hint="eastAsia"/>
          <w:color w:val="000000"/>
        </w:rPr>
        <w:t>5</w:t>
      </w:r>
      <w:r>
        <w:rPr>
          <w:rFonts w:hint="eastAsia"/>
          <w:color w:val="000000"/>
        </w:rPr>
        <w:t>千元減少</w:t>
      </w:r>
      <w:r w:rsidR="00D853CE">
        <w:rPr>
          <w:color w:val="000000"/>
        </w:rPr>
        <w:t>3</w:t>
      </w:r>
      <w:r>
        <w:rPr>
          <w:rFonts w:hint="eastAsia"/>
          <w:color w:val="000000"/>
        </w:rPr>
        <w:t>億</w:t>
      </w:r>
      <w:r w:rsidR="00D853CE">
        <w:rPr>
          <w:rFonts w:hint="eastAsia"/>
          <w:color w:val="000000"/>
        </w:rPr>
        <w:t>9</w:t>
      </w:r>
      <w:r>
        <w:rPr>
          <w:rFonts w:hint="eastAsia"/>
          <w:color w:val="000000"/>
        </w:rPr>
        <w:t>,</w:t>
      </w:r>
      <w:r w:rsidR="00D853CE">
        <w:rPr>
          <w:color w:val="000000"/>
        </w:rPr>
        <w:t>178</w:t>
      </w:r>
      <w:r>
        <w:rPr>
          <w:rFonts w:hint="eastAsia"/>
          <w:color w:val="000000"/>
        </w:rPr>
        <w:t>萬</w:t>
      </w:r>
      <w:r w:rsidR="00D853CE">
        <w:rPr>
          <w:rFonts w:hint="eastAsia"/>
          <w:color w:val="000000"/>
        </w:rPr>
        <w:t>4</w:t>
      </w:r>
      <w:r>
        <w:rPr>
          <w:rFonts w:hint="eastAsia"/>
          <w:color w:val="000000"/>
        </w:rPr>
        <w:t>千元</w:t>
      </w:r>
      <w:r w:rsidR="00D853CE">
        <w:rPr>
          <w:rFonts w:hint="eastAsia"/>
          <w:color w:val="000000"/>
        </w:rPr>
        <w:t>(</w:t>
      </w:r>
      <w:r>
        <w:rPr>
          <w:rFonts w:hint="eastAsia"/>
          <w:color w:val="000000"/>
        </w:rPr>
        <w:t>5.</w:t>
      </w:r>
      <w:r w:rsidR="00D853CE">
        <w:rPr>
          <w:color w:val="000000"/>
        </w:rPr>
        <w:t>33</w:t>
      </w:r>
      <w:r>
        <w:rPr>
          <w:rFonts w:hint="eastAsia"/>
          <w:color w:val="000000"/>
        </w:rPr>
        <w:t>%</w:t>
      </w:r>
      <w:r w:rsidR="00D853CE">
        <w:rPr>
          <w:color w:val="000000"/>
        </w:rPr>
        <w:t>)</w:t>
      </w:r>
      <w:r w:rsidRPr="005A5D75">
        <w:rPr>
          <w:rFonts w:hint="eastAsia"/>
          <w:color w:val="000000"/>
        </w:rPr>
        <w:t>。</w:t>
      </w:r>
      <w:r>
        <w:rPr>
          <w:rFonts w:hint="eastAsia"/>
          <w:color w:val="000000"/>
        </w:rPr>
        <w:t>經</w:t>
      </w:r>
      <w:r w:rsidRPr="005A5D75">
        <w:rPr>
          <w:rFonts w:hint="eastAsia"/>
          <w:color w:val="000000"/>
        </w:rPr>
        <w:t>查：</w:t>
      </w:r>
    </w:p>
    <w:p w:rsidR="00C017DD" w:rsidRPr="00307F7D" w:rsidRDefault="00C017DD" w:rsidP="00C017DD">
      <w:pPr>
        <w:ind w:left="851" w:hangingChars="100" w:hanging="284"/>
        <w:rPr>
          <w:rFonts w:hint="eastAsia"/>
          <w:b/>
          <w:color w:val="000000"/>
        </w:rPr>
      </w:pPr>
      <w:r w:rsidRPr="00307F7D">
        <w:rPr>
          <w:rFonts w:hint="eastAsia"/>
          <w:b/>
          <w:color w:val="000000"/>
        </w:rPr>
        <w:t>(</w:t>
      </w:r>
      <w:r>
        <w:rPr>
          <w:rFonts w:hint="eastAsia"/>
          <w:b/>
          <w:color w:val="000000"/>
        </w:rPr>
        <w:t>一</w:t>
      </w:r>
      <w:r w:rsidRPr="00307F7D">
        <w:rPr>
          <w:rFonts w:hint="eastAsia"/>
          <w:b/>
          <w:color w:val="000000"/>
        </w:rPr>
        <w:t>)</w:t>
      </w:r>
      <w:r w:rsidR="00017ABF">
        <w:rPr>
          <w:rFonts w:hint="eastAsia"/>
          <w:b/>
          <w:color w:val="000000"/>
        </w:rPr>
        <w:t>裝卸</w:t>
      </w:r>
      <w:r w:rsidRPr="00C23FF3">
        <w:rPr>
          <w:rFonts w:hint="eastAsia"/>
          <w:b/>
          <w:color w:val="000000"/>
        </w:rPr>
        <w:t>業務多年未達營運目標</w:t>
      </w:r>
    </w:p>
    <w:p w:rsidR="00C017DD" w:rsidRPr="00064A63" w:rsidRDefault="00C017DD" w:rsidP="00C017DD">
      <w:pPr>
        <w:pStyle w:val="2"/>
        <w:ind w:left="850" w:firstLine="567"/>
        <w:rPr>
          <w:rFonts w:hint="eastAsia"/>
          <w:b/>
          <w:bdr w:val="single" w:sz="12" w:space="0" w:color="auto"/>
        </w:rPr>
      </w:pPr>
      <w:r>
        <w:rPr>
          <w:rFonts w:hint="eastAsia"/>
        </w:rPr>
        <w:t>港務公司</w:t>
      </w:r>
      <w:r w:rsidR="00017ABF">
        <w:rPr>
          <w:rFonts w:hint="eastAsia"/>
        </w:rPr>
        <w:t>近5 年度(105至109年度)</w:t>
      </w:r>
      <w:r w:rsidRPr="00064A63">
        <w:rPr>
          <w:rFonts w:hint="eastAsia"/>
        </w:rPr>
        <w:t>裝卸業務</w:t>
      </w:r>
      <w:r>
        <w:rPr>
          <w:rFonts w:hint="eastAsia"/>
        </w:rPr>
        <w:t>營運</w:t>
      </w:r>
      <w:r w:rsidR="00017ABF">
        <w:rPr>
          <w:rFonts w:hint="eastAsia"/>
        </w:rPr>
        <w:t>量及營運</w:t>
      </w:r>
      <w:r>
        <w:rPr>
          <w:rFonts w:hint="eastAsia"/>
        </w:rPr>
        <w:t>值</w:t>
      </w:r>
      <w:r w:rsidR="00017ABF">
        <w:rPr>
          <w:rFonts w:hint="eastAsia"/>
        </w:rPr>
        <w:t>之</w:t>
      </w:r>
      <w:r>
        <w:rPr>
          <w:rFonts w:hint="eastAsia"/>
        </w:rPr>
        <w:t>決算數均未達預算</w:t>
      </w:r>
      <w:r w:rsidR="00017ABF">
        <w:rPr>
          <w:rFonts w:hint="eastAsia"/>
        </w:rPr>
        <w:t>目標</w:t>
      </w:r>
      <w:r>
        <w:rPr>
          <w:rFonts w:hint="eastAsia"/>
        </w:rPr>
        <w:t>，</w:t>
      </w:r>
      <w:r w:rsidR="00017ABF">
        <w:rPr>
          <w:rFonts w:hint="eastAsia"/>
        </w:rPr>
        <w:t>實際營運量低於預期0.2</w:t>
      </w:r>
      <w:r w:rsidR="00017ABF">
        <w:t>5</w:t>
      </w:r>
      <w:r w:rsidR="00017ABF">
        <w:rPr>
          <w:rFonts w:hint="eastAsia"/>
        </w:rPr>
        <w:t>%至8.59%，實際營運值低於預期4.02%至17.03%</w:t>
      </w:r>
      <w:r w:rsidR="001E17E1">
        <w:rPr>
          <w:rFonts w:hint="eastAsia"/>
        </w:rPr>
        <w:t>(詳表1)</w:t>
      </w:r>
      <w:r w:rsidR="00017ABF">
        <w:rPr>
          <w:rFonts w:hint="eastAsia"/>
        </w:rPr>
        <w:t>。據港務公司表示，</w:t>
      </w:r>
      <w:r w:rsidR="006365D3" w:rsidRPr="006365D3">
        <w:rPr>
          <w:rFonts w:hint="eastAsia"/>
        </w:rPr>
        <w:t>105及106年度因國際景氣低迷，大宗散雜貨物需求未如預期，加上海運聯盟重組及韓進海運破產等因素影響轉口櫃量；107及108年度受中美貿易戰、全球經濟動盪，及主要航商航線配置調整，又受能源政策轉型減少煤炭等進口量，造成散雜貨裝卸量下降；109年</w:t>
      </w:r>
      <w:r w:rsidR="006365D3">
        <w:rPr>
          <w:rFonts w:hint="eastAsia"/>
        </w:rPr>
        <w:t>度</w:t>
      </w:r>
      <w:r w:rsidR="006365D3" w:rsidRPr="006365D3">
        <w:rPr>
          <w:rFonts w:hint="eastAsia"/>
        </w:rPr>
        <w:t>除持續受能源政策影響外，另因</w:t>
      </w:r>
      <w:r w:rsidR="00665586">
        <w:rPr>
          <w:rFonts w:hint="eastAsia"/>
        </w:rPr>
        <w:t>嚴重特殊傳染性肺炎(以下簡稱</w:t>
      </w:r>
      <w:r w:rsidR="00665586" w:rsidRPr="006C629D">
        <w:t>COVID-19</w:t>
      </w:r>
      <w:r w:rsidR="00665586">
        <w:rPr>
          <w:rFonts w:hint="eastAsia"/>
        </w:rPr>
        <w:t>)</w:t>
      </w:r>
      <w:r w:rsidR="00665586" w:rsidRPr="006C629D">
        <w:t>疫情</w:t>
      </w:r>
      <w:r w:rsidR="006365D3" w:rsidRPr="006365D3">
        <w:rPr>
          <w:rFonts w:hint="eastAsia"/>
        </w:rPr>
        <w:t>衝擊貨物裝卸量，致裝卸業務未達預算目標</w:t>
      </w:r>
      <w:r>
        <w:rPr>
          <w:rFonts w:hint="eastAsia"/>
        </w:rPr>
        <w:t>。</w:t>
      </w:r>
    </w:p>
    <w:p w:rsidR="00843F6D" w:rsidRPr="002523D2" w:rsidRDefault="00843F6D" w:rsidP="00843F6D">
      <w:pPr>
        <w:ind w:leftChars="0" w:left="0" w:firstLineChars="0" w:firstLine="0"/>
        <w:rPr>
          <w:rFonts w:hint="eastAsia"/>
          <w:b/>
        </w:rPr>
      </w:pPr>
      <w:r w:rsidRPr="00AB5742">
        <w:rPr>
          <w:rFonts w:hint="eastAsia"/>
          <w:b/>
          <w:lang w:eastAsia="zh-HK"/>
        </w:rPr>
        <w:t>表</w:t>
      </w:r>
      <w:r>
        <w:rPr>
          <w:rFonts w:hint="eastAsia"/>
          <w:b/>
        </w:rPr>
        <w:t xml:space="preserve">1  </w:t>
      </w:r>
      <w:r w:rsidR="00FE5784">
        <w:rPr>
          <w:rFonts w:hint="eastAsia"/>
          <w:b/>
        </w:rPr>
        <w:t>港務公司近5</w:t>
      </w:r>
      <w:r w:rsidRPr="002523D2">
        <w:rPr>
          <w:rFonts w:hint="eastAsia"/>
          <w:b/>
        </w:rPr>
        <w:t>年度裝卸</w:t>
      </w:r>
      <w:r w:rsidR="00FE5784">
        <w:rPr>
          <w:rFonts w:hint="eastAsia"/>
          <w:b/>
        </w:rPr>
        <w:t>業務營運量值表</w:t>
      </w:r>
    </w:p>
    <w:p w:rsidR="00843F6D" w:rsidRPr="002523D2" w:rsidRDefault="00843F6D" w:rsidP="00843F6D">
      <w:pPr>
        <w:pStyle w:val="142"/>
        <w:ind w:left="568" w:hanging="568"/>
        <w:jc w:val="right"/>
        <w:rPr>
          <w:rFonts w:hint="eastAsia"/>
        </w:rPr>
      </w:pPr>
      <w:r w:rsidRPr="002523D2">
        <w:rPr>
          <w:rFonts w:hint="eastAsia"/>
        </w:rPr>
        <w:t>單位：</w:t>
      </w:r>
      <w:r w:rsidR="001A05BC">
        <w:rPr>
          <w:rFonts w:hint="eastAsia"/>
        </w:rPr>
        <w:t>千</w:t>
      </w:r>
      <w:r w:rsidR="00FE5784">
        <w:rPr>
          <w:rFonts w:hint="eastAsia"/>
        </w:rPr>
        <w:t>計費噸；新臺幣千元</w:t>
      </w:r>
    </w:p>
    <w:tbl>
      <w:tblPr>
        <w:tblW w:w="853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60"/>
        <w:gridCol w:w="1112"/>
        <w:gridCol w:w="1293"/>
        <w:gridCol w:w="1293"/>
        <w:gridCol w:w="1294"/>
        <w:gridCol w:w="1293"/>
        <w:gridCol w:w="1294"/>
      </w:tblGrid>
      <w:tr w:rsidR="00A44997" w:rsidRPr="00A44997" w:rsidTr="00A44997">
        <w:trPr>
          <w:trHeight w:val="340"/>
          <w:tblHeader/>
        </w:trPr>
        <w:tc>
          <w:tcPr>
            <w:tcW w:w="2072" w:type="dxa"/>
            <w:gridSpan w:val="2"/>
            <w:shd w:val="clear" w:color="auto" w:fill="auto"/>
            <w:noWrap/>
            <w:vAlign w:val="center"/>
            <w:hideMark/>
          </w:tcPr>
          <w:p w:rsidR="00A44997" w:rsidRPr="00A44997" w:rsidRDefault="00A44997" w:rsidP="00A44997">
            <w:pPr>
              <w:pStyle w:val="142"/>
              <w:jc w:val="center"/>
              <w:rPr>
                <w:rFonts w:hAnsi="標楷體"/>
                <w:snapToGrid/>
                <w:szCs w:val="24"/>
              </w:rPr>
            </w:pPr>
            <w:r>
              <w:rPr>
                <w:rFonts w:hAnsi="標楷體" w:hint="eastAsia"/>
                <w:snapToGrid/>
                <w:szCs w:val="24"/>
              </w:rPr>
              <w:t>裝卸業務</w:t>
            </w:r>
          </w:p>
        </w:tc>
        <w:tc>
          <w:tcPr>
            <w:tcW w:w="1293" w:type="dxa"/>
            <w:shd w:val="clear" w:color="auto" w:fill="auto"/>
            <w:noWrap/>
            <w:vAlign w:val="center"/>
            <w:hideMark/>
          </w:tcPr>
          <w:p w:rsidR="00A44997" w:rsidRPr="00A44997" w:rsidRDefault="00A44997" w:rsidP="00A44997">
            <w:pPr>
              <w:pStyle w:val="142"/>
              <w:jc w:val="center"/>
              <w:rPr>
                <w:rFonts w:hAnsi="標楷體"/>
                <w:snapToGrid/>
                <w:color w:val="000000"/>
                <w:szCs w:val="24"/>
              </w:rPr>
            </w:pPr>
            <w:r w:rsidRPr="00A44997">
              <w:rPr>
                <w:rFonts w:hAnsi="標楷體" w:hint="eastAsia"/>
                <w:snapToGrid/>
                <w:color w:val="000000"/>
                <w:szCs w:val="24"/>
              </w:rPr>
              <w:t>105</w:t>
            </w:r>
            <w:r>
              <w:rPr>
                <w:rFonts w:hAnsi="標楷體" w:hint="eastAsia"/>
                <w:snapToGrid/>
                <w:color w:val="000000"/>
                <w:szCs w:val="24"/>
              </w:rPr>
              <w:t>年度</w:t>
            </w:r>
          </w:p>
        </w:tc>
        <w:tc>
          <w:tcPr>
            <w:tcW w:w="1293" w:type="dxa"/>
            <w:shd w:val="clear" w:color="auto" w:fill="auto"/>
            <w:noWrap/>
            <w:vAlign w:val="center"/>
            <w:hideMark/>
          </w:tcPr>
          <w:p w:rsidR="00A44997" w:rsidRPr="00A44997" w:rsidRDefault="00A44997" w:rsidP="00A44997">
            <w:pPr>
              <w:pStyle w:val="142"/>
              <w:jc w:val="center"/>
              <w:rPr>
                <w:rFonts w:hAnsi="標楷體" w:hint="eastAsia"/>
                <w:snapToGrid/>
                <w:color w:val="000000"/>
                <w:szCs w:val="24"/>
              </w:rPr>
            </w:pPr>
            <w:r w:rsidRPr="00A44997">
              <w:rPr>
                <w:rFonts w:hAnsi="標楷體" w:hint="eastAsia"/>
                <w:snapToGrid/>
                <w:color w:val="000000"/>
                <w:szCs w:val="24"/>
              </w:rPr>
              <w:t>106</w:t>
            </w:r>
            <w:r>
              <w:rPr>
                <w:rFonts w:hAnsi="標楷體" w:hint="eastAsia"/>
                <w:snapToGrid/>
                <w:color w:val="000000"/>
                <w:szCs w:val="24"/>
              </w:rPr>
              <w:t>年度</w:t>
            </w:r>
          </w:p>
        </w:tc>
        <w:tc>
          <w:tcPr>
            <w:tcW w:w="1294" w:type="dxa"/>
            <w:shd w:val="clear" w:color="auto" w:fill="auto"/>
            <w:noWrap/>
            <w:vAlign w:val="center"/>
            <w:hideMark/>
          </w:tcPr>
          <w:p w:rsidR="00A44997" w:rsidRPr="00A44997" w:rsidRDefault="00A44997" w:rsidP="00A44997">
            <w:pPr>
              <w:pStyle w:val="142"/>
              <w:jc w:val="center"/>
              <w:rPr>
                <w:rFonts w:hAnsi="標楷體" w:hint="eastAsia"/>
                <w:snapToGrid/>
                <w:color w:val="000000"/>
                <w:szCs w:val="24"/>
              </w:rPr>
            </w:pPr>
            <w:r>
              <w:rPr>
                <w:rFonts w:hAnsi="標楷體" w:hint="eastAsia"/>
                <w:snapToGrid/>
                <w:color w:val="000000"/>
                <w:szCs w:val="24"/>
              </w:rPr>
              <w:t>107年度</w:t>
            </w:r>
          </w:p>
        </w:tc>
        <w:tc>
          <w:tcPr>
            <w:tcW w:w="1293" w:type="dxa"/>
            <w:shd w:val="clear" w:color="auto" w:fill="auto"/>
            <w:noWrap/>
            <w:vAlign w:val="center"/>
            <w:hideMark/>
          </w:tcPr>
          <w:p w:rsidR="00A44997" w:rsidRPr="00A44997" w:rsidRDefault="00A44997" w:rsidP="00A44997">
            <w:pPr>
              <w:pStyle w:val="142"/>
              <w:jc w:val="center"/>
              <w:rPr>
                <w:rFonts w:hAnsi="標楷體" w:hint="eastAsia"/>
                <w:snapToGrid/>
                <w:color w:val="000000"/>
                <w:szCs w:val="24"/>
              </w:rPr>
            </w:pPr>
            <w:r w:rsidRPr="00A44997">
              <w:rPr>
                <w:rFonts w:hAnsi="標楷體" w:hint="eastAsia"/>
                <w:snapToGrid/>
                <w:color w:val="000000"/>
                <w:szCs w:val="24"/>
              </w:rPr>
              <w:t>108</w:t>
            </w:r>
            <w:r>
              <w:rPr>
                <w:rFonts w:hAnsi="標楷體" w:hint="eastAsia"/>
                <w:snapToGrid/>
                <w:color w:val="000000"/>
                <w:szCs w:val="24"/>
              </w:rPr>
              <w:t>年度</w:t>
            </w:r>
          </w:p>
        </w:tc>
        <w:tc>
          <w:tcPr>
            <w:tcW w:w="1294" w:type="dxa"/>
            <w:shd w:val="clear" w:color="auto" w:fill="auto"/>
            <w:noWrap/>
            <w:vAlign w:val="center"/>
            <w:hideMark/>
          </w:tcPr>
          <w:p w:rsidR="00A44997" w:rsidRPr="00A44997" w:rsidRDefault="00A44997" w:rsidP="00A44997">
            <w:pPr>
              <w:pStyle w:val="142"/>
              <w:jc w:val="center"/>
              <w:rPr>
                <w:rFonts w:hAnsi="標楷體" w:hint="eastAsia"/>
                <w:snapToGrid/>
                <w:color w:val="000000"/>
                <w:szCs w:val="24"/>
              </w:rPr>
            </w:pPr>
            <w:r w:rsidRPr="00A44997">
              <w:rPr>
                <w:rFonts w:hAnsi="標楷體" w:hint="eastAsia"/>
                <w:snapToGrid/>
                <w:color w:val="000000"/>
                <w:szCs w:val="24"/>
              </w:rPr>
              <w:t>109</w:t>
            </w:r>
            <w:r>
              <w:rPr>
                <w:rFonts w:hAnsi="標楷體" w:hint="eastAsia"/>
                <w:snapToGrid/>
                <w:color w:val="000000"/>
                <w:szCs w:val="24"/>
              </w:rPr>
              <w:t>年度</w:t>
            </w:r>
          </w:p>
        </w:tc>
      </w:tr>
      <w:tr w:rsidR="00A44997" w:rsidRPr="00A44997" w:rsidTr="00A44997">
        <w:trPr>
          <w:trHeight w:val="340"/>
        </w:trPr>
        <w:tc>
          <w:tcPr>
            <w:tcW w:w="960" w:type="dxa"/>
            <w:vMerge w:val="restart"/>
            <w:shd w:val="clear" w:color="auto" w:fill="auto"/>
            <w:noWrap/>
            <w:vAlign w:val="center"/>
            <w:hideMark/>
          </w:tcPr>
          <w:p w:rsidR="00A44997" w:rsidRPr="00A44997" w:rsidRDefault="00A44997" w:rsidP="00A44997">
            <w:pPr>
              <w:pStyle w:val="142"/>
              <w:rPr>
                <w:rFonts w:hAnsi="標楷體" w:hint="eastAsia"/>
                <w:snapToGrid/>
                <w:color w:val="000000"/>
                <w:szCs w:val="24"/>
              </w:rPr>
            </w:pPr>
            <w:r w:rsidRPr="00A44997">
              <w:rPr>
                <w:rFonts w:hAnsi="標楷體" w:hint="eastAsia"/>
                <w:snapToGrid/>
                <w:color w:val="000000"/>
                <w:szCs w:val="24"/>
              </w:rPr>
              <w:t>營運量</w:t>
            </w:r>
          </w:p>
        </w:tc>
        <w:tc>
          <w:tcPr>
            <w:tcW w:w="1112" w:type="dxa"/>
            <w:shd w:val="clear" w:color="auto" w:fill="auto"/>
            <w:noWrap/>
            <w:vAlign w:val="center"/>
            <w:hideMark/>
          </w:tcPr>
          <w:p w:rsidR="00A44997" w:rsidRPr="00A44997" w:rsidRDefault="00A44997" w:rsidP="00A44997">
            <w:pPr>
              <w:pStyle w:val="142"/>
              <w:rPr>
                <w:rFonts w:hAnsi="標楷體" w:hint="eastAsia"/>
                <w:snapToGrid/>
                <w:color w:val="000000"/>
                <w:szCs w:val="24"/>
              </w:rPr>
            </w:pPr>
            <w:r w:rsidRPr="00A44997">
              <w:rPr>
                <w:rFonts w:hAnsi="標楷體" w:hint="eastAsia"/>
                <w:snapToGrid/>
                <w:color w:val="000000"/>
                <w:szCs w:val="24"/>
              </w:rPr>
              <w:t>預算</w:t>
            </w:r>
          </w:p>
        </w:tc>
        <w:tc>
          <w:tcPr>
            <w:tcW w:w="1293"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795,300</w:t>
            </w:r>
          </w:p>
        </w:tc>
        <w:tc>
          <w:tcPr>
            <w:tcW w:w="1293"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795,324</w:t>
            </w:r>
          </w:p>
        </w:tc>
        <w:tc>
          <w:tcPr>
            <w:tcW w:w="1294"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785,612</w:t>
            </w:r>
          </w:p>
        </w:tc>
        <w:tc>
          <w:tcPr>
            <w:tcW w:w="1293"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733,906</w:t>
            </w:r>
          </w:p>
        </w:tc>
        <w:tc>
          <w:tcPr>
            <w:tcW w:w="1294"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738,500</w:t>
            </w:r>
          </w:p>
        </w:tc>
      </w:tr>
      <w:tr w:rsidR="00A44997" w:rsidRPr="00A44997" w:rsidTr="00A44997">
        <w:trPr>
          <w:trHeight w:val="340"/>
        </w:trPr>
        <w:tc>
          <w:tcPr>
            <w:tcW w:w="960" w:type="dxa"/>
            <w:vMerge/>
            <w:shd w:val="clear" w:color="auto" w:fill="auto"/>
            <w:noWrap/>
            <w:vAlign w:val="center"/>
            <w:hideMark/>
          </w:tcPr>
          <w:p w:rsidR="00A44997" w:rsidRPr="00A44997" w:rsidRDefault="00A44997" w:rsidP="00A44997">
            <w:pPr>
              <w:pStyle w:val="142"/>
              <w:rPr>
                <w:rFonts w:hAnsi="標楷體" w:hint="eastAsia"/>
                <w:snapToGrid/>
                <w:color w:val="000000"/>
                <w:szCs w:val="24"/>
              </w:rPr>
            </w:pPr>
          </w:p>
        </w:tc>
        <w:tc>
          <w:tcPr>
            <w:tcW w:w="1112" w:type="dxa"/>
            <w:shd w:val="clear" w:color="auto" w:fill="auto"/>
            <w:noWrap/>
            <w:vAlign w:val="center"/>
            <w:hideMark/>
          </w:tcPr>
          <w:p w:rsidR="00A44997" w:rsidRPr="00A44997" w:rsidRDefault="00A44997" w:rsidP="00A44997">
            <w:pPr>
              <w:pStyle w:val="142"/>
              <w:rPr>
                <w:rFonts w:hAnsi="標楷體"/>
                <w:snapToGrid/>
                <w:color w:val="000000"/>
                <w:szCs w:val="24"/>
              </w:rPr>
            </w:pPr>
            <w:r w:rsidRPr="00A44997">
              <w:rPr>
                <w:rFonts w:hAnsi="標楷體" w:hint="eastAsia"/>
                <w:snapToGrid/>
                <w:color w:val="000000"/>
                <w:szCs w:val="24"/>
              </w:rPr>
              <w:t>決算</w:t>
            </w:r>
          </w:p>
        </w:tc>
        <w:tc>
          <w:tcPr>
            <w:tcW w:w="1293"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735,015</w:t>
            </w:r>
          </w:p>
        </w:tc>
        <w:tc>
          <w:tcPr>
            <w:tcW w:w="1293"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727,000</w:t>
            </w:r>
          </w:p>
        </w:tc>
        <w:tc>
          <w:tcPr>
            <w:tcW w:w="1294"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742,385</w:t>
            </w:r>
          </w:p>
        </w:tc>
        <w:tc>
          <w:tcPr>
            <w:tcW w:w="1293"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732,042</w:t>
            </w:r>
          </w:p>
        </w:tc>
        <w:tc>
          <w:tcPr>
            <w:tcW w:w="1294"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704,499</w:t>
            </w:r>
          </w:p>
        </w:tc>
      </w:tr>
      <w:tr w:rsidR="00A44997" w:rsidRPr="00A44997" w:rsidTr="00A44997">
        <w:trPr>
          <w:trHeight w:val="340"/>
        </w:trPr>
        <w:tc>
          <w:tcPr>
            <w:tcW w:w="960" w:type="dxa"/>
            <w:vMerge/>
            <w:shd w:val="clear" w:color="auto" w:fill="auto"/>
            <w:noWrap/>
            <w:vAlign w:val="center"/>
            <w:hideMark/>
          </w:tcPr>
          <w:p w:rsidR="00A44997" w:rsidRPr="00A44997" w:rsidRDefault="00A44997" w:rsidP="00A44997">
            <w:pPr>
              <w:pStyle w:val="142"/>
              <w:rPr>
                <w:rFonts w:hAnsi="標楷體" w:hint="eastAsia"/>
                <w:snapToGrid/>
                <w:color w:val="000000"/>
                <w:szCs w:val="24"/>
              </w:rPr>
            </w:pPr>
          </w:p>
        </w:tc>
        <w:tc>
          <w:tcPr>
            <w:tcW w:w="1112" w:type="dxa"/>
            <w:shd w:val="clear" w:color="auto" w:fill="auto"/>
            <w:noWrap/>
            <w:vAlign w:val="center"/>
            <w:hideMark/>
          </w:tcPr>
          <w:p w:rsidR="00A44997" w:rsidRPr="00A44997" w:rsidRDefault="001A05BC" w:rsidP="00A44997">
            <w:pPr>
              <w:pStyle w:val="142"/>
              <w:rPr>
                <w:rFonts w:hAnsi="標楷體"/>
                <w:snapToGrid/>
                <w:color w:val="000000"/>
                <w:szCs w:val="24"/>
              </w:rPr>
            </w:pPr>
            <w:r>
              <w:rPr>
                <w:rFonts w:hAnsi="標楷體" w:hint="eastAsia"/>
                <w:snapToGrid/>
                <w:color w:val="000000"/>
                <w:szCs w:val="24"/>
              </w:rPr>
              <w:t>增減</w:t>
            </w:r>
            <w:r w:rsidR="00A44997" w:rsidRPr="00A44997">
              <w:rPr>
                <w:rFonts w:hAnsi="標楷體" w:hint="eastAsia"/>
                <w:snapToGrid/>
                <w:color w:val="000000"/>
                <w:szCs w:val="24"/>
              </w:rPr>
              <w:t>數</w:t>
            </w:r>
          </w:p>
        </w:tc>
        <w:tc>
          <w:tcPr>
            <w:tcW w:w="1293"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-60,285</w:t>
            </w:r>
          </w:p>
        </w:tc>
        <w:tc>
          <w:tcPr>
            <w:tcW w:w="1293"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-68,324</w:t>
            </w:r>
          </w:p>
        </w:tc>
        <w:tc>
          <w:tcPr>
            <w:tcW w:w="1294"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-43,227</w:t>
            </w:r>
          </w:p>
        </w:tc>
        <w:tc>
          <w:tcPr>
            <w:tcW w:w="1293"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-1,864</w:t>
            </w:r>
          </w:p>
        </w:tc>
        <w:tc>
          <w:tcPr>
            <w:tcW w:w="1294"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-34,001</w:t>
            </w:r>
          </w:p>
        </w:tc>
      </w:tr>
      <w:tr w:rsidR="00A44997" w:rsidRPr="00A44997" w:rsidTr="00A44997">
        <w:trPr>
          <w:trHeight w:val="340"/>
        </w:trPr>
        <w:tc>
          <w:tcPr>
            <w:tcW w:w="960" w:type="dxa"/>
            <w:vMerge/>
            <w:shd w:val="clear" w:color="auto" w:fill="auto"/>
            <w:noWrap/>
            <w:vAlign w:val="center"/>
            <w:hideMark/>
          </w:tcPr>
          <w:p w:rsidR="00A44997" w:rsidRPr="00A44997" w:rsidRDefault="00A44997" w:rsidP="00A44997">
            <w:pPr>
              <w:pStyle w:val="142"/>
              <w:rPr>
                <w:rFonts w:hAnsi="標楷體" w:hint="eastAsia"/>
                <w:snapToGrid/>
                <w:color w:val="000000"/>
                <w:szCs w:val="24"/>
              </w:rPr>
            </w:pPr>
          </w:p>
        </w:tc>
        <w:tc>
          <w:tcPr>
            <w:tcW w:w="1112" w:type="dxa"/>
            <w:shd w:val="clear" w:color="auto" w:fill="auto"/>
            <w:noWrap/>
            <w:vAlign w:val="center"/>
            <w:hideMark/>
          </w:tcPr>
          <w:p w:rsidR="00A44997" w:rsidRPr="00A44997" w:rsidRDefault="001A05BC" w:rsidP="00A44997">
            <w:pPr>
              <w:pStyle w:val="142"/>
              <w:rPr>
                <w:rFonts w:hAnsi="標楷體"/>
                <w:snapToGrid/>
                <w:color w:val="000000"/>
                <w:szCs w:val="24"/>
              </w:rPr>
            </w:pPr>
            <w:r>
              <w:rPr>
                <w:rFonts w:hAnsi="標楷體" w:hint="eastAsia"/>
                <w:snapToGrid/>
                <w:color w:val="000000"/>
                <w:szCs w:val="24"/>
              </w:rPr>
              <w:t>增減</w:t>
            </w:r>
            <w:r w:rsidR="00A44997" w:rsidRPr="00A44997">
              <w:rPr>
                <w:rFonts w:hAnsi="標楷體" w:hint="eastAsia"/>
                <w:snapToGrid/>
                <w:color w:val="000000"/>
                <w:szCs w:val="24"/>
              </w:rPr>
              <w:t>比率</w:t>
            </w:r>
          </w:p>
        </w:tc>
        <w:tc>
          <w:tcPr>
            <w:tcW w:w="1293"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-7.58%</w:t>
            </w:r>
          </w:p>
        </w:tc>
        <w:tc>
          <w:tcPr>
            <w:tcW w:w="1293"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-8.59%</w:t>
            </w:r>
          </w:p>
        </w:tc>
        <w:tc>
          <w:tcPr>
            <w:tcW w:w="1294"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-5.50%</w:t>
            </w:r>
          </w:p>
        </w:tc>
        <w:tc>
          <w:tcPr>
            <w:tcW w:w="1293"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-0.25%</w:t>
            </w:r>
          </w:p>
        </w:tc>
        <w:tc>
          <w:tcPr>
            <w:tcW w:w="1294"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-4.60%</w:t>
            </w:r>
          </w:p>
        </w:tc>
      </w:tr>
      <w:tr w:rsidR="00A44997" w:rsidRPr="00A44997" w:rsidTr="00A44997">
        <w:trPr>
          <w:trHeight w:val="340"/>
        </w:trPr>
        <w:tc>
          <w:tcPr>
            <w:tcW w:w="960" w:type="dxa"/>
            <w:vMerge w:val="restart"/>
            <w:shd w:val="clear" w:color="auto" w:fill="auto"/>
            <w:noWrap/>
            <w:vAlign w:val="center"/>
            <w:hideMark/>
          </w:tcPr>
          <w:p w:rsidR="00A44997" w:rsidRPr="00A44997" w:rsidRDefault="00A44997" w:rsidP="00A44997">
            <w:pPr>
              <w:pStyle w:val="142"/>
              <w:rPr>
                <w:rFonts w:hAnsi="標楷體" w:hint="eastAsia"/>
                <w:snapToGrid/>
                <w:color w:val="000000"/>
                <w:szCs w:val="24"/>
              </w:rPr>
            </w:pPr>
            <w:r w:rsidRPr="00A44997">
              <w:rPr>
                <w:rFonts w:hAnsi="標楷體" w:hint="eastAsia"/>
                <w:snapToGrid/>
                <w:color w:val="000000"/>
                <w:szCs w:val="24"/>
              </w:rPr>
              <w:t>營運值</w:t>
            </w:r>
          </w:p>
        </w:tc>
        <w:tc>
          <w:tcPr>
            <w:tcW w:w="1112" w:type="dxa"/>
            <w:shd w:val="clear" w:color="auto" w:fill="auto"/>
            <w:noWrap/>
            <w:vAlign w:val="center"/>
            <w:hideMark/>
          </w:tcPr>
          <w:p w:rsidR="00A44997" w:rsidRPr="00A44997" w:rsidRDefault="00A44997" w:rsidP="00A44997">
            <w:pPr>
              <w:pStyle w:val="142"/>
              <w:rPr>
                <w:rFonts w:hAnsi="標楷體" w:hint="eastAsia"/>
                <w:snapToGrid/>
                <w:color w:val="000000"/>
                <w:szCs w:val="24"/>
              </w:rPr>
            </w:pPr>
            <w:r w:rsidRPr="00A44997">
              <w:rPr>
                <w:rFonts w:hAnsi="標楷體" w:hint="eastAsia"/>
                <w:snapToGrid/>
                <w:color w:val="000000"/>
                <w:szCs w:val="24"/>
              </w:rPr>
              <w:t>預算值</w:t>
            </w:r>
          </w:p>
        </w:tc>
        <w:tc>
          <w:tcPr>
            <w:tcW w:w="1293"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8,530,818</w:t>
            </w:r>
          </w:p>
        </w:tc>
        <w:tc>
          <w:tcPr>
            <w:tcW w:w="1293"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8,061,514</w:t>
            </w:r>
          </w:p>
        </w:tc>
        <w:tc>
          <w:tcPr>
            <w:tcW w:w="1294"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7,650,322</w:t>
            </w:r>
          </w:p>
        </w:tc>
        <w:tc>
          <w:tcPr>
            <w:tcW w:w="1293"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7,376,756</w:t>
            </w:r>
          </w:p>
        </w:tc>
        <w:tc>
          <w:tcPr>
            <w:tcW w:w="1294"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7,353,745</w:t>
            </w:r>
          </w:p>
        </w:tc>
      </w:tr>
      <w:tr w:rsidR="00A44997" w:rsidRPr="00A44997" w:rsidTr="00A44997">
        <w:trPr>
          <w:trHeight w:val="340"/>
        </w:trPr>
        <w:tc>
          <w:tcPr>
            <w:tcW w:w="960" w:type="dxa"/>
            <w:vMerge/>
            <w:shd w:val="clear" w:color="auto" w:fill="auto"/>
            <w:noWrap/>
            <w:vAlign w:val="center"/>
            <w:hideMark/>
          </w:tcPr>
          <w:p w:rsidR="00A44997" w:rsidRPr="00A44997" w:rsidRDefault="00A44997" w:rsidP="00A44997">
            <w:pPr>
              <w:pStyle w:val="142"/>
              <w:rPr>
                <w:rFonts w:hAnsi="標楷體" w:hint="eastAsia"/>
                <w:snapToGrid/>
                <w:color w:val="000000"/>
                <w:szCs w:val="24"/>
              </w:rPr>
            </w:pPr>
          </w:p>
        </w:tc>
        <w:tc>
          <w:tcPr>
            <w:tcW w:w="1112" w:type="dxa"/>
            <w:shd w:val="clear" w:color="auto" w:fill="auto"/>
            <w:noWrap/>
            <w:vAlign w:val="center"/>
            <w:hideMark/>
          </w:tcPr>
          <w:p w:rsidR="00A44997" w:rsidRPr="00A44997" w:rsidRDefault="00A44997" w:rsidP="00A44997">
            <w:pPr>
              <w:pStyle w:val="142"/>
              <w:rPr>
                <w:rFonts w:hAnsi="標楷體"/>
                <w:snapToGrid/>
                <w:color w:val="000000"/>
                <w:szCs w:val="24"/>
              </w:rPr>
            </w:pPr>
            <w:r w:rsidRPr="00A44997">
              <w:rPr>
                <w:rFonts w:hAnsi="標楷體" w:hint="eastAsia"/>
                <w:snapToGrid/>
                <w:color w:val="000000"/>
                <w:szCs w:val="24"/>
              </w:rPr>
              <w:t>決算值</w:t>
            </w:r>
          </w:p>
        </w:tc>
        <w:tc>
          <w:tcPr>
            <w:tcW w:w="1293"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7,078,043</w:t>
            </w:r>
          </w:p>
        </w:tc>
        <w:tc>
          <w:tcPr>
            <w:tcW w:w="1293"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6,869,583</w:t>
            </w:r>
          </w:p>
        </w:tc>
        <w:tc>
          <w:tcPr>
            <w:tcW w:w="1294"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6,965,613</w:t>
            </w:r>
          </w:p>
        </w:tc>
        <w:tc>
          <w:tcPr>
            <w:tcW w:w="1293"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7,080,011</w:t>
            </w:r>
          </w:p>
        </w:tc>
        <w:tc>
          <w:tcPr>
            <w:tcW w:w="1294"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6,961,961</w:t>
            </w:r>
          </w:p>
        </w:tc>
      </w:tr>
      <w:tr w:rsidR="00A44997" w:rsidRPr="00A44997" w:rsidTr="00A44997">
        <w:trPr>
          <w:trHeight w:val="340"/>
        </w:trPr>
        <w:tc>
          <w:tcPr>
            <w:tcW w:w="960" w:type="dxa"/>
            <w:vMerge/>
            <w:shd w:val="clear" w:color="auto" w:fill="auto"/>
            <w:noWrap/>
            <w:vAlign w:val="center"/>
            <w:hideMark/>
          </w:tcPr>
          <w:p w:rsidR="00A44997" w:rsidRPr="00A44997" w:rsidRDefault="00A44997" w:rsidP="00A44997">
            <w:pPr>
              <w:pStyle w:val="142"/>
              <w:rPr>
                <w:rFonts w:hAnsi="標楷體" w:hint="eastAsia"/>
                <w:snapToGrid/>
                <w:color w:val="000000"/>
                <w:szCs w:val="24"/>
              </w:rPr>
            </w:pPr>
          </w:p>
        </w:tc>
        <w:tc>
          <w:tcPr>
            <w:tcW w:w="1112" w:type="dxa"/>
            <w:shd w:val="clear" w:color="auto" w:fill="auto"/>
            <w:noWrap/>
            <w:vAlign w:val="center"/>
            <w:hideMark/>
          </w:tcPr>
          <w:p w:rsidR="00A44997" w:rsidRPr="00A44997" w:rsidRDefault="001A05BC" w:rsidP="00A44997">
            <w:pPr>
              <w:pStyle w:val="142"/>
              <w:rPr>
                <w:rFonts w:hAnsi="標楷體"/>
                <w:snapToGrid/>
                <w:color w:val="000000"/>
                <w:szCs w:val="24"/>
              </w:rPr>
            </w:pPr>
            <w:r>
              <w:rPr>
                <w:rFonts w:hAnsi="標楷體" w:hint="eastAsia"/>
                <w:snapToGrid/>
                <w:color w:val="000000"/>
                <w:szCs w:val="24"/>
              </w:rPr>
              <w:t>增減</w:t>
            </w:r>
            <w:r w:rsidR="00A44997" w:rsidRPr="00A44997">
              <w:rPr>
                <w:rFonts w:hAnsi="標楷體" w:hint="eastAsia"/>
                <w:snapToGrid/>
                <w:color w:val="000000"/>
                <w:szCs w:val="24"/>
              </w:rPr>
              <w:t>數</w:t>
            </w:r>
          </w:p>
        </w:tc>
        <w:tc>
          <w:tcPr>
            <w:tcW w:w="1293"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-1,452,775</w:t>
            </w:r>
          </w:p>
        </w:tc>
        <w:tc>
          <w:tcPr>
            <w:tcW w:w="1293"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-1,191,931</w:t>
            </w:r>
          </w:p>
        </w:tc>
        <w:tc>
          <w:tcPr>
            <w:tcW w:w="1294"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-684,709</w:t>
            </w:r>
          </w:p>
        </w:tc>
        <w:tc>
          <w:tcPr>
            <w:tcW w:w="1293"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-296,745</w:t>
            </w:r>
          </w:p>
        </w:tc>
        <w:tc>
          <w:tcPr>
            <w:tcW w:w="1294"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-391,784</w:t>
            </w:r>
          </w:p>
        </w:tc>
      </w:tr>
      <w:tr w:rsidR="00A44997" w:rsidRPr="00A44997" w:rsidTr="00A44997">
        <w:trPr>
          <w:trHeight w:val="340"/>
        </w:trPr>
        <w:tc>
          <w:tcPr>
            <w:tcW w:w="960" w:type="dxa"/>
            <w:vMerge/>
            <w:shd w:val="clear" w:color="auto" w:fill="auto"/>
            <w:noWrap/>
            <w:vAlign w:val="center"/>
            <w:hideMark/>
          </w:tcPr>
          <w:p w:rsidR="00A44997" w:rsidRPr="00A44997" w:rsidRDefault="00A44997" w:rsidP="00A44997">
            <w:pPr>
              <w:pStyle w:val="142"/>
              <w:rPr>
                <w:rFonts w:hAnsi="標楷體" w:hint="eastAsia"/>
                <w:snapToGrid/>
                <w:color w:val="000000"/>
                <w:szCs w:val="24"/>
              </w:rPr>
            </w:pPr>
          </w:p>
        </w:tc>
        <w:tc>
          <w:tcPr>
            <w:tcW w:w="1112" w:type="dxa"/>
            <w:shd w:val="clear" w:color="auto" w:fill="auto"/>
            <w:noWrap/>
            <w:vAlign w:val="center"/>
            <w:hideMark/>
          </w:tcPr>
          <w:p w:rsidR="00A44997" w:rsidRPr="00A44997" w:rsidRDefault="001A05BC" w:rsidP="00A44997">
            <w:pPr>
              <w:pStyle w:val="142"/>
              <w:rPr>
                <w:rFonts w:hAnsi="標楷體"/>
                <w:snapToGrid/>
                <w:color w:val="000000"/>
                <w:szCs w:val="24"/>
              </w:rPr>
            </w:pPr>
            <w:r>
              <w:rPr>
                <w:rFonts w:hAnsi="標楷體" w:hint="eastAsia"/>
                <w:snapToGrid/>
                <w:color w:val="000000"/>
                <w:szCs w:val="24"/>
              </w:rPr>
              <w:t>增減</w:t>
            </w:r>
            <w:r w:rsidR="00A44997" w:rsidRPr="00A44997">
              <w:rPr>
                <w:rFonts w:hAnsi="標楷體" w:hint="eastAsia"/>
                <w:snapToGrid/>
                <w:color w:val="000000"/>
                <w:szCs w:val="24"/>
              </w:rPr>
              <w:t>比率</w:t>
            </w:r>
          </w:p>
        </w:tc>
        <w:tc>
          <w:tcPr>
            <w:tcW w:w="1293"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-17.03%</w:t>
            </w:r>
          </w:p>
        </w:tc>
        <w:tc>
          <w:tcPr>
            <w:tcW w:w="1293"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-14.79%</w:t>
            </w:r>
          </w:p>
        </w:tc>
        <w:tc>
          <w:tcPr>
            <w:tcW w:w="1294"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-8.95%</w:t>
            </w:r>
          </w:p>
        </w:tc>
        <w:tc>
          <w:tcPr>
            <w:tcW w:w="1293"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-4.02%</w:t>
            </w:r>
          </w:p>
        </w:tc>
        <w:tc>
          <w:tcPr>
            <w:tcW w:w="1294" w:type="dxa"/>
            <w:shd w:val="clear" w:color="auto" w:fill="auto"/>
            <w:noWrap/>
            <w:vAlign w:val="center"/>
            <w:hideMark/>
          </w:tcPr>
          <w:p w:rsidR="00A44997" w:rsidRPr="00A44997" w:rsidRDefault="00A44997" w:rsidP="00A44997">
            <w:pPr>
              <w:pStyle w:val="142"/>
              <w:jc w:val="right"/>
              <w:rPr>
                <w:rFonts w:hAnsi="標楷體" w:hint="eastAsia"/>
                <w:snapToGrid/>
                <w:color w:val="000000"/>
                <w:szCs w:val="24"/>
              </w:rPr>
            </w:pPr>
            <w:r w:rsidRPr="00A44997">
              <w:rPr>
                <w:rFonts w:hAnsi="標楷體" w:hint="eastAsia"/>
                <w:snapToGrid/>
                <w:color w:val="000000"/>
                <w:szCs w:val="24"/>
              </w:rPr>
              <w:t>-5.33%</w:t>
            </w:r>
          </w:p>
        </w:tc>
      </w:tr>
    </w:tbl>
    <w:p w:rsidR="00C017DD" w:rsidRPr="00C017DD" w:rsidRDefault="00843F6D" w:rsidP="00017ABF">
      <w:pPr>
        <w:pStyle w:val="142"/>
        <w:ind w:leftChars="5" w:left="939" w:hangingChars="380" w:hanging="925"/>
        <w:rPr>
          <w:rFonts w:hint="eastAsia"/>
        </w:rPr>
      </w:pPr>
      <w:r>
        <w:rPr>
          <w:rFonts w:hint="eastAsia"/>
        </w:rPr>
        <w:t>資料來源：港務公司</w:t>
      </w:r>
      <w:r w:rsidR="00017ABF">
        <w:rPr>
          <w:rFonts w:hint="eastAsia"/>
        </w:rPr>
        <w:t>；本報告整理。</w:t>
      </w:r>
    </w:p>
    <w:p w:rsidR="00C017DD" w:rsidRPr="002523D2" w:rsidRDefault="00C017DD" w:rsidP="005D24D3">
      <w:pPr>
        <w:pStyle w:val="af9"/>
        <w:ind w:left="851" w:hanging="284"/>
        <w:rPr>
          <w:rFonts w:hint="eastAsia"/>
          <w:b/>
        </w:rPr>
      </w:pPr>
      <w:r w:rsidRPr="002523D2">
        <w:rPr>
          <w:rFonts w:hint="eastAsia"/>
          <w:b/>
        </w:rPr>
        <w:t>(</w:t>
      </w:r>
      <w:r w:rsidR="00F916DA">
        <w:rPr>
          <w:rFonts w:hint="eastAsia"/>
          <w:b/>
        </w:rPr>
        <w:t>二</w:t>
      </w:r>
      <w:r w:rsidRPr="002523D2">
        <w:rPr>
          <w:rFonts w:hint="eastAsia"/>
          <w:b/>
        </w:rPr>
        <w:t>)高雄港受</w:t>
      </w:r>
      <w:r>
        <w:rPr>
          <w:rFonts w:hint="eastAsia"/>
          <w:b/>
        </w:rPr>
        <w:t>疫情衝擊影響</w:t>
      </w:r>
      <w:r w:rsidRPr="002523D2">
        <w:rPr>
          <w:rFonts w:hint="eastAsia"/>
          <w:b/>
        </w:rPr>
        <w:t>居我國各港之首</w:t>
      </w:r>
    </w:p>
    <w:p w:rsidR="00C017DD" w:rsidRDefault="00C017DD" w:rsidP="005D24D3">
      <w:pPr>
        <w:pStyle w:val="2"/>
        <w:ind w:left="850" w:firstLine="567"/>
      </w:pPr>
      <w:r w:rsidRPr="002523D2">
        <w:rPr>
          <w:rFonts w:hint="eastAsia"/>
        </w:rPr>
        <w:t>高雄港貨櫃量10</w:t>
      </w:r>
      <w:r>
        <w:t>5</w:t>
      </w:r>
      <w:r w:rsidRPr="002523D2">
        <w:rPr>
          <w:rFonts w:hint="eastAsia"/>
        </w:rPr>
        <w:t>至108年度</w:t>
      </w:r>
      <w:r>
        <w:rPr>
          <w:rFonts w:hint="eastAsia"/>
        </w:rPr>
        <w:t>為</w:t>
      </w:r>
      <w:r w:rsidRPr="002523D2">
        <w:rPr>
          <w:rFonts w:hint="eastAsia"/>
        </w:rPr>
        <w:t>1千餘萬TEU，</w:t>
      </w:r>
      <w:r>
        <w:rPr>
          <w:rFonts w:hint="eastAsia"/>
        </w:rPr>
        <w:t>109年度降為962</w:t>
      </w:r>
      <w:r>
        <w:t>.2</w:t>
      </w:r>
      <w:r>
        <w:rPr>
          <w:rFonts w:hint="eastAsia"/>
        </w:rPr>
        <w:t>萬TEU，</w:t>
      </w:r>
      <w:r w:rsidRPr="002523D2">
        <w:rPr>
          <w:rFonts w:hint="eastAsia"/>
        </w:rPr>
        <w:t>轉口</w:t>
      </w:r>
      <w:r>
        <w:rPr>
          <w:rFonts w:hint="eastAsia"/>
        </w:rPr>
        <w:t>櫃量105至108年度介於466.1萬 TEU至506.4萬 TEU，109年度降為429.9萬TEU</w:t>
      </w:r>
      <w:r w:rsidRPr="002523D2">
        <w:rPr>
          <w:rFonts w:hint="eastAsia"/>
        </w:rPr>
        <w:t>(詳表</w:t>
      </w:r>
      <w:r w:rsidR="00F916DA">
        <w:rPr>
          <w:rFonts w:hint="eastAsia"/>
        </w:rPr>
        <w:t>2</w:t>
      </w:r>
      <w:r w:rsidRPr="002523D2">
        <w:rPr>
          <w:rFonts w:hint="eastAsia"/>
        </w:rPr>
        <w:t>)。</w:t>
      </w:r>
      <w:r>
        <w:rPr>
          <w:rFonts w:hint="eastAsia"/>
        </w:rPr>
        <w:t>據港務公司說明，</w:t>
      </w:r>
      <w:r w:rsidRPr="00681F13">
        <w:t>109年</w:t>
      </w:r>
      <w:r w:rsidRPr="005974E9">
        <w:t>起</w:t>
      </w:r>
      <w:r>
        <w:rPr>
          <w:rFonts w:hint="eastAsia"/>
        </w:rPr>
        <w:t>因COVID-19</w:t>
      </w:r>
      <w:r w:rsidRPr="005974E9">
        <w:t>疫情衍生</w:t>
      </w:r>
      <w:r>
        <w:rPr>
          <w:rFonts w:hint="eastAsia"/>
        </w:rPr>
        <w:t>全球</w:t>
      </w:r>
      <w:r w:rsidRPr="005974E9">
        <w:t>碼頭壅塞、跳港及缺櫃等連鎖效應</w:t>
      </w:r>
      <w:r>
        <w:rPr>
          <w:rFonts w:hint="eastAsia"/>
        </w:rPr>
        <w:t>，</w:t>
      </w:r>
      <w:r w:rsidRPr="00681F13">
        <w:t>高雄港為我國洲際貨櫃樞紐港，匯集諸多近、遠洋航線，且貨櫃量幾近一半係仰賴轉口櫃</w:t>
      </w:r>
      <w:r w:rsidR="001A05BC" w:rsidRPr="002523D2">
        <w:rPr>
          <w:rFonts w:hint="eastAsia"/>
        </w:rPr>
        <w:t>(詳表</w:t>
      </w:r>
      <w:r w:rsidR="001A05BC">
        <w:rPr>
          <w:rFonts w:hint="eastAsia"/>
        </w:rPr>
        <w:t>2</w:t>
      </w:r>
      <w:r w:rsidR="001A05BC" w:rsidRPr="002523D2">
        <w:rPr>
          <w:rFonts w:hint="eastAsia"/>
        </w:rPr>
        <w:t>)</w:t>
      </w:r>
      <w:r w:rsidRPr="00681F13">
        <w:t>，</w:t>
      </w:r>
      <w:r>
        <w:rPr>
          <w:rFonts w:hint="eastAsia"/>
        </w:rPr>
        <w:t>首當其衝</w:t>
      </w:r>
      <w:r w:rsidRPr="00681F13">
        <w:t>，尤以轉口櫃及空櫃衰退幅度最大</w:t>
      </w:r>
      <w:r>
        <w:rPr>
          <w:rFonts w:hint="eastAsia"/>
        </w:rPr>
        <w:t>。</w:t>
      </w:r>
    </w:p>
    <w:p w:rsidR="00C017DD" w:rsidRPr="002523D2" w:rsidRDefault="00C017DD" w:rsidP="005D24D3">
      <w:pPr>
        <w:ind w:leftChars="0" w:left="0" w:firstLineChars="0" w:firstLine="0"/>
        <w:rPr>
          <w:rFonts w:hint="eastAsia"/>
          <w:b/>
        </w:rPr>
      </w:pPr>
      <w:r w:rsidRPr="00AB5742">
        <w:rPr>
          <w:rFonts w:hint="eastAsia"/>
          <w:b/>
          <w:lang w:eastAsia="zh-HK"/>
        </w:rPr>
        <w:t>表</w:t>
      </w:r>
      <w:r w:rsidR="00F3091F">
        <w:rPr>
          <w:b/>
        </w:rPr>
        <w:t>2</w:t>
      </w:r>
      <w:r>
        <w:rPr>
          <w:rFonts w:hint="eastAsia"/>
          <w:b/>
        </w:rPr>
        <w:t xml:space="preserve">  </w:t>
      </w:r>
      <w:r w:rsidRPr="002523D2">
        <w:rPr>
          <w:rFonts w:hint="eastAsia"/>
          <w:b/>
        </w:rPr>
        <w:t>高雄港各年度貨櫃裝卸量及轉口櫃量統計</w:t>
      </w:r>
    </w:p>
    <w:p w:rsidR="00C017DD" w:rsidRPr="002523D2" w:rsidRDefault="00C017DD" w:rsidP="005D24D3">
      <w:pPr>
        <w:pStyle w:val="142"/>
        <w:ind w:left="568" w:hanging="568"/>
        <w:jc w:val="right"/>
        <w:rPr>
          <w:rFonts w:hint="eastAsia"/>
        </w:rPr>
      </w:pPr>
      <w:r w:rsidRPr="002523D2">
        <w:rPr>
          <w:rFonts w:hint="eastAsia"/>
        </w:rPr>
        <w:t>單位：萬TEU(TEU：20呎標準貨櫃)；%</w:t>
      </w:r>
    </w:p>
    <w:tbl>
      <w:tblPr>
        <w:tblW w:w="8540"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681"/>
        <w:gridCol w:w="2286"/>
        <w:gridCol w:w="2286"/>
        <w:gridCol w:w="2287"/>
      </w:tblGrid>
      <w:tr w:rsidR="00C017DD" w:rsidRPr="002523D2" w:rsidTr="00C1244D">
        <w:trPr>
          <w:trHeight w:val="335"/>
          <w:tblHeader/>
        </w:trPr>
        <w:tc>
          <w:tcPr>
            <w:tcW w:w="1681" w:type="dxa"/>
            <w:shd w:val="clear" w:color="auto" w:fill="auto"/>
            <w:noWrap/>
            <w:vAlign w:val="center"/>
            <w:hideMark/>
          </w:tcPr>
          <w:p w:rsidR="00C017DD" w:rsidRPr="002523D2" w:rsidRDefault="00C017DD" w:rsidP="00C906CE">
            <w:pPr>
              <w:pStyle w:val="142"/>
              <w:ind w:left="568" w:hanging="568"/>
              <w:jc w:val="center"/>
            </w:pPr>
            <w:r w:rsidRPr="002523D2">
              <w:rPr>
                <w:rFonts w:hint="eastAsia"/>
              </w:rPr>
              <w:t>年度</w:t>
            </w:r>
          </w:p>
        </w:tc>
        <w:tc>
          <w:tcPr>
            <w:tcW w:w="2286" w:type="dxa"/>
            <w:shd w:val="clear" w:color="auto" w:fill="auto"/>
            <w:vAlign w:val="center"/>
            <w:hideMark/>
          </w:tcPr>
          <w:p w:rsidR="00C017DD" w:rsidRPr="002523D2" w:rsidRDefault="00C017DD" w:rsidP="00C906CE">
            <w:pPr>
              <w:pStyle w:val="142"/>
              <w:ind w:left="568" w:hanging="568"/>
              <w:jc w:val="center"/>
            </w:pPr>
            <w:r w:rsidRPr="002523D2">
              <w:rPr>
                <w:rFonts w:hint="eastAsia"/>
              </w:rPr>
              <w:t>全港(1)</w:t>
            </w:r>
          </w:p>
        </w:tc>
        <w:tc>
          <w:tcPr>
            <w:tcW w:w="2286" w:type="dxa"/>
            <w:shd w:val="clear" w:color="auto" w:fill="auto"/>
            <w:vAlign w:val="center"/>
            <w:hideMark/>
          </w:tcPr>
          <w:p w:rsidR="00C017DD" w:rsidRPr="002523D2" w:rsidRDefault="00C017DD" w:rsidP="00C906CE">
            <w:pPr>
              <w:pStyle w:val="142"/>
              <w:ind w:left="568" w:hanging="568"/>
              <w:jc w:val="center"/>
            </w:pPr>
            <w:r w:rsidRPr="002523D2">
              <w:rPr>
                <w:rFonts w:hint="eastAsia"/>
              </w:rPr>
              <w:t>轉口(2)</w:t>
            </w:r>
          </w:p>
        </w:tc>
        <w:tc>
          <w:tcPr>
            <w:tcW w:w="2287" w:type="dxa"/>
            <w:shd w:val="clear" w:color="auto" w:fill="auto"/>
            <w:vAlign w:val="center"/>
            <w:hideMark/>
          </w:tcPr>
          <w:p w:rsidR="00C017DD" w:rsidRPr="002523D2" w:rsidRDefault="00C017DD" w:rsidP="00C906CE">
            <w:pPr>
              <w:pStyle w:val="142"/>
              <w:ind w:left="568" w:hanging="568"/>
              <w:jc w:val="center"/>
            </w:pPr>
            <w:r w:rsidRPr="002523D2">
              <w:rPr>
                <w:rFonts w:hint="eastAsia"/>
              </w:rPr>
              <w:t>轉口比率(2)/(1)</w:t>
            </w:r>
          </w:p>
        </w:tc>
      </w:tr>
      <w:tr w:rsidR="00C017DD" w:rsidRPr="002523D2" w:rsidTr="00C906CE">
        <w:trPr>
          <w:trHeight w:val="336"/>
        </w:trPr>
        <w:tc>
          <w:tcPr>
            <w:tcW w:w="1681" w:type="dxa"/>
            <w:shd w:val="clear" w:color="auto" w:fill="auto"/>
            <w:noWrap/>
            <w:vAlign w:val="center"/>
            <w:hideMark/>
          </w:tcPr>
          <w:p w:rsidR="00C017DD" w:rsidRPr="002523D2" w:rsidRDefault="00C017DD" w:rsidP="00C906CE">
            <w:pPr>
              <w:pStyle w:val="142"/>
              <w:ind w:left="568" w:hanging="568"/>
              <w:jc w:val="center"/>
            </w:pPr>
            <w:r w:rsidRPr="002523D2">
              <w:rPr>
                <w:rFonts w:hint="eastAsia"/>
              </w:rPr>
              <w:t>105</w:t>
            </w:r>
          </w:p>
        </w:tc>
        <w:tc>
          <w:tcPr>
            <w:tcW w:w="2286" w:type="dxa"/>
            <w:shd w:val="clear" w:color="auto" w:fill="auto"/>
            <w:vAlign w:val="center"/>
            <w:hideMark/>
          </w:tcPr>
          <w:p w:rsidR="00C017DD" w:rsidRPr="002523D2" w:rsidRDefault="00C017DD" w:rsidP="00C906CE">
            <w:pPr>
              <w:pStyle w:val="142"/>
              <w:ind w:left="568" w:hanging="568"/>
              <w:jc w:val="right"/>
            </w:pPr>
            <w:r w:rsidRPr="002523D2">
              <w:rPr>
                <w:rFonts w:hint="eastAsia"/>
              </w:rPr>
              <w:t>1,046.5</w:t>
            </w:r>
          </w:p>
        </w:tc>
        <w:tc>
          <w:tcPr>
            <w:tcW w:w="2286" w:type="dxa"/>
            <w:shd w:val="clear" w:color="auto" w:fill="auto"/>
            <w:vAlign w:val="center"/>
            <w:hideMark/>
          </w:tcPr>
          <w:p w:rsidR="00C017DD" w:rsidRPr="002523D2" w:rsidRDefault="00C017DD" w:rsidP="00C906CE">
            <w:pPr>
              <w:pStyle w:val="142"/>
              <w:ind w:left="568" w:hanging="568"/>
              <w:jc w:val="right"/>
            </w:pPr>
            <w:r w:rsidRPr="002523D2">
              <w:rPr>
                <w:rFonts w:hint="eastAsia"/>
              </w:rPr>
              <w:t>506.4</w:t>
            </w:r>
          </w:p>
        </w:tc>
        <w:tc>
          <w:tcPr>
            <w:tcW w:w="2287" w:type="dxa"/>
            <w:shd w:val="clear" w:color="auto" w:fill="auto"/>
            <w:vAlign w:val="center"/>
            <w:hideMark/>
          </w:tcPr>
          <w:p w:rsidR="00C017DD" w:rsidRPr="002523D2" w:rsidRDefault="00C017DD" w:rsidP="00C906CE">
            <w:pPr>
              <w:pStyle w:val="142"/>
              <w:ind w:left="568" w:hanging="568"/>
              <w:jc w:val="right"/>
            </w:pPr>
            <w:r w:rsidRPr="002523D2">
              <w:rPr>
                <w:rFonts w:hint="eastAsia"/>
              </w:rPr>
              <w:t>48.39</w:t>
            </w:r>
          </w:p>
        </w:tc>
      </w:tr>
      <w:tr w:rsidR="00C017DD" w:rsidRPr="002523D2" w:rsidTr="00C906CE">
        <w:trPr>
          <w:trHeight w:val="336"/>
        </w:trPr>
        <w:tc>
          <w:tcPr>
            <w:tcW w:w="1681" w:type="dxa"/>
            <w:shd w:val="clear" w:color="auto" w:fill="auto"/>
            <w:noWrap/>
            <w:vAlign w:val="center"/>
            <w:hideMark/>
          </w:tcPr>
          <w:p w:rsidR="00C017DD" w:rsidRPr="002523D2" w:rsidRDefault="00C017DD" w:rsidP="00C906CE">
            <w:pPr>
              <w:pStyle w:val="142"/>
              <w:ind w:left="568" w:hanging="568"/>
              <w:jc w:val="center"/>
            </w:pPr>
            <w:r w:rsidRPr="002523D2">
              <w:rPr>
                <w:rFonts w:hint="eastAsia"/>
              </w:rPr>
              <w:t>106</w:t>
            </w:r>
          </w:p>
        </w:tc>
        <w:tc>
          <w:tcPr>
            <w:tcW w:w="2286" w:type="dxa"/>
            <w:shd w:val="clear" w:color="auto" w:fill="auto"/>
            <w:vAlign w:val="center"/>
            <w:hideMark/>
          </w:tcPr>
          <w:p w:rsidR="00C017DD" w:rsidRPr="002523D2" w:rsidRDefault="00C017DD" w:rsidP="00C906CE">
            <w:pPr>
              <w:pStyle w:val="142"/>
              <w:ind w:left="568" w:hanging="568"/>
              <w:jc w:val="right"/>
            </w:pPr>
            <w:r w:rsidRPr="002523D2">
              <w:rPr>
                <w:rFonts w:hint="eastAsia"/>
              </w:rPr>
              <w:t>1,027.1</w:t>
            </w:r>
          </w:p>
        </w:tc>
        <w:tc>
          <w:tcPr>
            <w:tcW w:w="2286" w:type="dxa"/>
            <w:shd w:val="clear" w:color="auto" w:fill="auto"/>
            <w:vAlign w:val="center"/>
            <w:hideMark/>
          </w:tcPr>
          <w:p w:rsidR="00C017DD" w:rsidRPr="002523D2" w:rsidRDefault="00C017DD" w:rsidP="00C906CE">
            <w:pPr>
              <w:pStyle w:val="142"/>
              <w:ind w:left="568" w:hanging="568"/>
              <w:jc w:val="right"/>
            </w:pPr>
            <w:r w:rsidRPr="002523D2">
              <w:rPr>
                <w:rFonts w:hint="eastAsia"/>
              </w:rPr>
              <w:t>476.4</w:t>
            </w:r>
          </w:p>
        </w:tc>
        <w:tc>
          <w:tcPr>
            <w:tcW w:w="2287" w:type="dxa"/>
            <w:shd w:val="clear" w:color="auto" w:fill="auto"/>
            <w:vAlign w:val="center"/>
            <w:hideMark/>
          </w:tcPr>
          <w:p w:rsidR="00C017DD" w:rsidRPr="002523D2" w:rsidRDefault="00C017DD" w:rsidP="00C906CE">
            <w:pPr>
              <w:pStyle w:val="142"/>
              <w:ind w:left="568" w:hanging="568"/>
              <w:jc w:val="right"/>
            </w:pPr>
            <w:r w:rsidRPr="002523D2">
              <w:rPr>
                <w:rFonts w:hint="eastAsia"/>
              </w:rPr>
              <w:t>46.38</w:t>
            </w:r>
          </w:p>
        </w:tc>
      </w:tr>
      <w:tr w:rsidR="00C017DD" w:rsidRPr="002523D2" w:rsidTr="00C1244D">
        <w:trPr>
          <w:trHeight w:val="336"/>
        </w:trPr>
        <w:tc>
          <w:tcPr>
            <w:tcW w:w="1681" w:type="dxa"/>
            <w:shd w:val="clear" w:color="auto" w:fill="auto"/>
            <w:noWrap/>
            <w:vAlign w:val="center"/>
            <w:hideMark/>
          </w:tcPr>
          <w:p w:rsidR="00C017DD" w:rsidRPr="002523D2" w:rsidRDefault="00C017DD" w:rsidP="00C906CE">
            <w:pPr>
              <w:pStyle w:val="142"/>
              <w:ind w:left="568" w:hanging="568"/>
              <w:jc w:val="center"/>
            </w:pPr>
            <w:r w:rsidRPr="002523D2">
              <w:rPr>
                <w:rFonts w:hint="eastAsia"/>
              </w:rPr>
              <w:t>107</w:t>
            </w:r>
          </w:p>
        </w:tc>
        <w:tc>
          <w:tcPr>
            <w:tcW w:w="2286" w:type="dxa"/>
            <w:shd w:val="clear" w:color="auto" w:fill="auto"/>
            <w:vAlign w:val="center"/>
            <w:hideMark/>
          </w:tcPr>
          <w:p w:rsidR="00C017DD" w:rsidRPr="002523D2" w:rsidRDefault="00C017DD" w:rsidP="00C906CE">
            <w:pPr>
              <w:pStyle w:val="142"/>
              <w:ind w:left="568" w:hanging="568"/>
              <w:jc w:val="right"/>
            </w:pPr>
            <w:r w:rsidRPr="002523D2">
              <w:rPr>
                <w:rFonts w:hint="eastAsia"/>
              </w:rPr>
              <w:t>1,044.6</w:t>
            </w:r>
          </w:p>
        </w:tc>
        <w:tc>
          <w:tcPr>
            <w:tcW w:w="2286" w:type="dxa"/>
            <w:shd w:val="clear" w:color="auto" w:fill="auto"/>
            <w:vAlign w:val="center"/>
            <w:hideMark/>
          </w:tcPr>
          <w:p w:rsidR="00C017DD" w:rsidRPr="002523D2" w:rsidRDefault="00C017DD" w:rsidP="00C906CE">
            <w:pPr>
              <w:pStyle w:val="142"/>
              <w:ind w:left="568" w:hanging="568"/>
              <w:jc w:val="right"/>
            </w:pPr>
            <w:r w:rsidRPr="002523D2">
              <w:rPr>
                <w:rFonts w:hint="eastAsia"/>
              </w:rPr>
              <w:t>466.1</w:t>
            </w:r>
          </w:p>
        </w:tc>
        <w:tc>
          <w:tcPr>
            <w:tcW w:w="2287" w:type="dxa"/>
            <w:shd w:val="clear" w:color="auto" w:fill="auto"/>
            <w:vAlign w:val="center"/>
            <w:hideMark/>
          </w:tcPr>
          <w:p w:rsidR="00C017DD" w:rsidRPr="002523D2" w:rsidRDefault="00C017DD" w:rsidP="00C906CE">
            <w:pPr>
              <w:pStyle w:val="142"/>
              <w:ind w:left="568" w:hanging="568"/>
              <w:jc w:val="right"/>
            </w:pPr>
            <w:r w:rsidRPr="002523D2">
              <w:rPr>
                <w:rFonts w:hint="eastAsia"/>
              </w:rPr>
              <w:t>44.62</w:t>
            </w:r>
          </w:p>
        </w:tc>
      </w:tr>
      <w:tr w:rsidR="00C017DD" w:rsidRPr="002523D2" w:rsidTr="00C1244D">
        <w:trPr>
          <w:trHeight w:val="336"/>
        </w:trPr>
        <w:tc>
          <w:tcPr>
            <w:tcW w:w="1681" w:type="dxa"/>
            <w:shd w:val="clear" w:color="auto" w:fill="auto"/>
            <w:noWrap/>
            <w:vAlign w:val="center"/>
            <w:hideMark/>
          </w:tcPr>
          <w:p w:rsidR="00C017DD" w:rsidRPr="002523D2" w:rsidRDefault="00C017DD" w:rsidP="00C906CE">
            <w:pPr>
              <w:pStyle w:val="142"/>
              <w:ind w:left="568" w:hanging="568"/>
              <w:jc w:val="center"/>
            </w:pPr>
            <w:r w:rsidRPr="002523D2">
              <w:rPr>
                <w:rFonts w:hint="eastAsia"/>
              </w:rPr>
              <w:t>108</w:t>
            </w:r>
          </w:p>
        </w:tc>
        <w:tc>
          <w:tcPr>
            <w:tcW w:w="2286" w:type="dxa"/>
            <w:shd w:val="clear" w:color="auto" w:fill="auto"/>
            <w:vAlign w:val="center"/>
            <w:hideMark/>
          </w:tcPr>
          <w:p w:rsidR="00C017DD" w:rsidRPr="002523D2" w:rsidRDefault="00C017DD" w:rsidP="00C906CE">
            <w:pPr>
              <w:pStyle w:val="142"/>
              <w:ind w:left="568" w:hanging="568"/>
              <w:jc w:val="right"/>
            </w:pPr>
            <w:r w:rsidRPr="002523D2">
              <w:rPr>
                <w:rFonts w:hint="eastAsia"/>
              </w:rPr>
              <w:t>1,042.9</w:t>
            </w:r>
          </w:p>
        </w:tc>
        <w:tc>
          <w:tcPr>
            <w:tcW w:w="2286" w:type="dxa"/>
            <w:shd w:val="clear" w:color="auto" w:fill="auto"/>
            <w:vAlign w:val="center"/>
            <w:hideMark/>
          </w:tcPr>
          <w:p w:rsidR="00C017DD" w:rsidRPr="002523D2" w:rsidRDefault="00C017DD" w:rsidP="00C906CE">
            <w:pPr>
              <w:pStyle w:val="142"/>
              <w:ind w:left="568" w:hanging="568"/>
              <w:jc w:val="right"/>
            </w:pPr>
            <w:r w:rsidRPr="002523D2">
              <w:rPr>
                <w:rFonts w:hint="eastAsia"/>
              </w:rPr>
              <w:t>479.1</w:t>
            </w:r>
          </w:p>
        </w:tc>
        <w:tc>
          <w:tcPr>
            <w:tcW w:w="2287" w:type="dxa"/>
            <w:shd w:val="clear" w:color="auto" w:fill="auto"/>
            <w:vAlign w:val="center"/>
            <w:hideMark/>
          </w:tcPr>
          <w:p w:rsidR="00C017DD" w:rsidRPr="002523D2" w:rsidRDefault="00C017DD" w:rsidP="00C906CE">
            <w:pPr>
              <w:pStyle w:val="142"/>
              <w:ind w:left="568" w:hanging="568"/>
              <w:jc w:val="right"/>
            </w:pPr>
            <w:r w:rsidRPr="002523D2">
              <w:rPr>
                <w:rFonts w:hint="eastAsia"/>
              </w:rPr>
              <w:t>45.94</w:t>
            </w:r>
          </w:p>
        </w:tc>
      </w:tr>
      <w:tr w:rsidR="00C017DD" w:rsidRPr="002523D2" w:rsidTr="00C1244D">
        <w:trPr>
          <w:trHeight w:val="336"/>
        </w:trPr>
        <w:tc>
          <w:tcPr>
            <w:tcW w:w="1681" w:type="dxa"/>
            <w:shd w:val="clear" w:color="auto" w:fill="auto"/>
            <w:noWrap/>
            <w:vAlign w:val="center"/>
          </w:tcPr>
          <w:p w:rsidR="00C017DD" w:rsidRPr="002523D2" w:rsidRDefault="00C017DD" w:rsidP="00C906CE">
            <w:pPr>
              <w:pStyle w:val="142"/>
              <w:ind w:left="568" w:hanging="568"/>
              <w:jc w:val="center"/>
              <w:rPr>
                <w:rFonts w:hint="eastAsia"/>
              </w:rPr>
            </w:pPr>
            <w:r>
              <w:rPr>
                <w:rFonts w:hint="eastAsia"/>
              </w:rPr>
              <w:t>109</w:t>
            </w:r>
          </w:p>
        </w:tc>
        <w:tc>
          <w:tcPr>
            <w:tcW w:w="2286" w:type="dxa"/>
            <w:shd w:val="clear" w:color="auto" w:fill="auto"/>
            <w:vAlign w:val="center"/>
          </w:tcPr>
          <w:p w:rsidR="00C017DD" w:rsidRPr="002523D2" w:rsidRDefault="00C017DD" w:rsidP="00C906CE">
            <w:pPr>
              <w:pStyle w:val="142"/>
              <w:ind w:left="568" w:hanging="568"/>
              <w:jc w:val="right"/>
              <w:rPr>
                <w:rFonts w:hint="eastAsia"/>
              </w:rPr>
            </w:pPr>
            <w:r>
              <w:rPr>
                <w:rFonts w:hint="eastAsia"/>
              </w:rPr>
              <w:t>962.2</w:t>
            </w:r>
          </w:p>
        </w:tc>
        <w:tc>
          <w:tcPr>
            <w:tcW w:w="2286" w:type="dxa"/>
            <w:shd w:val="clear" w:color="auto" w:fill="auto"/>
            <w:vAlign w:val="center"/>
          </w:tcPr>
          <w:p w:rsidR="00C017DD" w:rsidRPr="002523D2" w:rsidRDefault="00C017DD" w:rsidP="00C906CE">
            <w:pPr>
              <w:pStyle w:val="142"/>
              <w:ind w:left="568" w:hanging="568"/>
              <w:jc w:val="right"/>
              <w:rPr>
                <w:rFonts w:hint="eastAsia"/>
              </w:rPr>
            </w:pPr>
            <w:r>
              <w:rPr>
                <w:rFonts w:hint="eastAsia"/>
              </w:rPr>
              <w:t>429.9</w:t>
            </w:r>
          </w:p>
        </w:tc>
        <w:tc>
          <w:tcPr>
            <w:tcW w:w="2287" w:type="dxa"/>
            <w:shd w:val="clear" w:color="auto" w:fill="auto"/>
            <w:vAlign w:val="center"/>
          </w:tcPr>
          <w:p w:rsidR="00C017DD" w:rsidRPr="002523D2" w:rsidRDefault="00C017DD" w:rsidP="00C906CE">
            <w:pPr>
              <w:pStyle w:val="142"/>
              <w:ind w:left="568" w:hanging="568"/>
              <w:jc w:val="right"/>
              <w:rPr>
                <w:rFonts w:hint="eastAsia"/>
              </w:rPr>
            </w:pPr>
            <w:r>
              <w:rPr>
                <w:rFonts w:hint="eastAsia"/>
              </w:rPr>
              <w:t>44.68</w:t>
            </w:r>
          </w:p>
        </w:tc>
      </w:tr>
    </w:tbl>
    <w:p w:rsidR="00C017DD" w:rsidRPr="002523D2" w:rsidRDefault="00C017DD" w:rsidP="005D24D3">
      <w:pPr>
        <w:pStyle w:val="142"/>
        <w:ind w:leftChars="5" w:left="939" w:hangingChars="380" w:hanging="925"/>
        <w:rPr>
          <w:rFonts w:hint="eastAsia"/>
        </w:rPr>
      </w:pPr>
      <w:r>
        <w:rPr>
          <w:rFonts w:hint="eastAsia"/>
        </w:rPr>
        <w:t>資料來源：港務公司</w:t>
      </w:r>
      <w:r w:rsidRPr="002523D2">
        <w:rPr>
          <w:rFonts w:hint="eastAsia"/>
          <w:lang w:eastAsia="zh-HK"/>
        </w:rPr>
        <w:t>。</w:t>
      </w:r>
    </w:p>
    <w:p w:rsidR="00C017DD" w:rsidRPr="002523D2" w:rsidRDefault="00C017DD" w:rsidP="005D24D3">
      <w:pPr>
        <w:pStyle w:val="af9"/>
        <w:ind w:left="851" w:hanging="284"/>
        <w:rPr>
          <w:rFonts w:hint="eastAsia"/>
          <w:b/>
        </w:rPr>
      </w:pPr>
      <w:r w:rsidRPr="002523D2">
        <w:rPr>
          <w:rFonts w:hint="eastAsia"/>
          <w:b/>
        </w:rPr>
        <w:t>(</w:t>
      </w:r>
      <w:r w:rsidR="00707A37">
        <w:rPr>
          <w:rFonts w:hint="eastAsia"/>
          <w:b/>
        </w:rPr>
        <w:t>三</w:t>
      </w:r>
      <w:r w:rsidRPr="002523D2">
        <w:rPr>
          <w:rFonts w:hint="eastAsia"/>
          <w:b/>
        </w:rPr>
        <w:t>)</w:t>
      </w:r>
      <w:r>
        <w:rPr>
          <w:rFonts w:hint="eastAsia"/>
          <w:b/>
        </w:rPr>
        <w:t>鄰近</w:t>
      </w:r>
      <w:r w:rsidRPr="002523D2">
        <w:rPr>
          <w:rFonts w:hint="eastAsia"/>
          <w:b/>
        </w:rPr>
        <w:t>貨櫃港口崛起，競爭加劇，高雄港貨櫃量成長力道趨緩</w:t>
      </w:r>
    </w:p>
    <w:p w:rsidR="00C017DD" w:rsidRPr="002523D2" w:rsidRDefault="00C017DD" w:rsidP="005D24D3">
      <w:pPr>
        <w:pStyle w:val="2"/>
        <w:ind w:left="850" w:firstLine="567"/>
        <w:rPr>
          <w:rFonts w:hint="eastAsia"/>
        </w:rPr>
      </w:pPr>
      <w:r w:rsidRPr="002523D2">
        <w:rPr>
          <w:rFonts w:hint="eastAsia"/>
        </w:rPr>
        <w:t>高雄港貨櫃裝卸量自103至108年度連續6年裝卸量逾千萬TEU</w:t>
      </w:r>
      <w:r w:rsidRPr="002523D2">
        <w:rPr>
          <w:rStyle w:val="aff0"/>
        </w:rPr>
        <w:footnoteReference w:id="1"/>
      </w:r>
      <w:r w:rsidRPr="002523D2">
        <w:rPr>
          <w:rFonts w:hint="eastAsia"/>
        </w:rPr>
        <w:t>，</w:t>
      </w:r>
      <w:r>
        <w:rPr>
          <w:rFonts w:hint="eastAsia"/>
        </w:rPr>
        <w:t>該</w:t>
      </w:r>
      <w:r w:rsidRPr="002523D2">
        <w:rPr>
          <w:rFonts w:hint="eastAsia"/>
        </w:rPr>
        <w:t>港於2000年為全球第4大貨櫃港</w:t>
      </w:r>
      <w:r w:rsidR="00223621">
        <w:rPr>
          <w:rStyle w:val="aff0"/>
        </w:rPr>
        <w:footnoteReference w:id="2"/>
      </w:r>
      <w:r w:rsidRPr="002523D2">
        <w:rPr>
          <w:rFonts w:hint="eastAsia"/>
        </w:rPr>
        <w:t>，之後貨櫃裝卸量排名呈下跌趨勢，至201</w:t>
      </w:r>
      <w:r>
        <w:rPr>
          <w:rFonts w:hint="eastAsia"/>
        </w:rPr>
        <w:t>8</w:t>
      </w:r>
      <w:r w:rsidRPr="002523D2">
        <w:rPr>
          <w:rFonts w:hint="eastAsia"/>
        </w:rPr>
        <w:t>年</w:t>
      </w:r>
      <w:r>
        <w:rPr>
          <w:rFonts w:hint="eastAsia"/>
        </w:rPr>
        <w:t>、</w:t>
      </w:r>
      <w:r w:rsidRPr="002523D2">
        <w:rPr>
          <w:rFonts w:hint="eastAsia"/>
        </w:rPr>
        <w:t>201</w:t>
      </w:r>
      <w:r>
        <w:rPr>
          <w:rFonts w:hint="eastAsia"/>
        </w:rPr>
        <w:t>9</w:t>
      </w:r>
      <w:r w:rsidRPr="002523D2">
        <w:rPr>
          <w:rFonts w:hint="eastAsia"/>
        </w:rPr>
        <w:t>年排名第15名，20</w:t>
      </w:r>
      <w:r>
        <w:rPr>
          <w:rFonts w:hint="eastAsia"/>
        </w:rPr>
        <w:t>20</w:t>
      </w:r>
      <w:r w:rsidRPr="002523D2">
        <w:rPr>
          <w:rFonts w:hint="eastAsia"/>
        </w:rPr>
        <w:t>年</w:t>
      </w:r>
      <w:r>
        <w:rPr>
          <w:rFonts w:hint="eastAsia"/>
        </w:rPr>
        <w:t>成長率為-7.7 %，續跌為第16名。</w:t>
      </w:r>
      <w:r w:rsidRPr="002523D2">
        <w:rPr>
          <w:rFonts w:hint="eastAsia"/>
        </w:rPr>
        <w:t>反觀2000年排名落後於高雄港之鄰近港口，如</w:t>
      </w:r>
      <w:r>
        <w:rPr>
          <w:rFonts w:hint="eastAsia"/>
        </w:rPr>
        <w:t>中國大陸之</w:t>
      </w:r>
      <w:r w:rsidRPr="002523D2">
        <w:rPr>
          <w:rFonts w:hint="eastAsia"/>
        </w:rPr>
        <w:t>上海、寧波-舟山、深圳、廣州、青島、天津、廈門</w:t>
      </w:r>
      <w:r>
        <w:rPr>
          <w:rFonts w:hint="eastAsia"/>
        </w:rPr>
        <w:t>及馬來西亞</w:t>
      </w:r>
      <w:r w:rsidRPr="009E165D">
        <w:rPr>
          <w:rFonts w:hint="eastAsia"/>
        </w:rPr>
        <w:t>丹絨柏樂巴斯</w:t>
      </w:r>
      <w:r w:rsidRPr="002523D2">
        <w:rPr>
          <w:rFonts w:hint="eastAsia"/>
        </w:rPr>
        <w:t>等港口，20</w:t>
      </w:r>
      <w:r>
        <w:t>20</w:t>
      </w:r>
      <w:r w:rsidRPr="002523D2">
        <w:rPr>
          <w:rFonts w:hint="eastAsia"/>
        </w:rPr>
        <w:t>年貨櫃量</w:t>
      </w:r>
      <w:r>
        <w:rPr>
          <w:rFonts w:hint="eastAsia"/>
        </w:rPr>
        <w:t>仍為正</w:t>
      </w:r>
      <w:r w:rsidRPr="002523D2">
        <w:rPr>
          <w:rFonts w:hint="eastAsia"/>
        </w:rPr>
        <w:t>成長，</w:t>
      </w:r>
      <w:r>
        <w:rPr>
          <w:rFonts w:hint="eastAsia"/>
        </w:rPr>
        <w:t>鄰近</w:t>
      </w:r>
      <w:r w:rsidRPr="002523D2">
        <w:rPr>
          <w:rFonts w:hint="eastAsia"/>
        </w:rPr>
        <w:t>貨櫃港口之崛起，使亞</w:t>
      </w:r>
      <w:r>
        <w:rPr>
          <w:rFonts w:hint="eastAsia"/>
        </w:rPr>
        <w:t>洲</w:t>
      </w:r>
      <w:r w:rsidRPr="002523D2">
        <w:rPr>
          <w:rFonts w:hint="eastAsia"/>
        </w:rPr>
        <w:t>地區商港之競爭加劇</w:t>
      </w:r>
      <w:r>
        <w:rPr>
          <w:rFonts w:hint="eastAsia"/>
        </w:rPr>
        <w:t>，高雄港</w:t>
      </w:r>
      <w:r w:rsidRPr="002523D2">
        <w:rPr>
          <w:rFonts w:hint="eastAsia"/>
        </w:rPr>
        <w:t>貨櫃裝卸量成長力道趨緩。</w:t>
      </w:r>
    </w:p>
    <w:p w:rsidR="00C017DD" w:rsidRPr="00854B72" w:rsidRDefault="00C017DD" w:rsidP="005D24D3">
      <w:pPr>
        <w:ind w:left="567" w:firstLine="567"/>
        <w:rPr>
          <w:rFonts w:hint="eastAsia"/>
        </w:rPr>
      </w:pPr>
      <w:r w:rsidRPr="00854B72">
        <w:rPr>
          <w:rFonts w:hint="eastAsia"/>
        </w:rPr>
        <w:t>綜上，</w:t>
      </w:r>
      <w:r w:rsidR="00854B72" w:rsidRPr="00854B72">
        <w:rPr>
          <w:rFonts w:hint="eastAsia"/>
        </w:rPr>
        <w:t>港務公司近5年度(105至109年度)因國際景氣</w:t>
      </w:r>
      <w:r w:rsidR="00902F08">
        <w:rPr>
          <w:rFonts w:hint="eastAsia"/>
        </w:rPr>
        <w:t>、</w:t>
      </w:r>
      <w:r w:rsidR="00854B72" w:rsidRPr="00854B72">
        <w:rPr>
          <w:rFonts w:hint="eastAsia"/>
        </w:rPr>
        <w:t>海運聯盟重組</w:t>
      </w:r>
      <w:r w:rsidR="00902F08">
        <w:rPr>
          <w:rFonts w:hint="eastAsia"/>
        </w:rPr>
        <w:t>、</w:t>
      </w:r>
      <w:r w:rsidR="00854B72" w:rsidRPr="00854B72">
        <w:rPr>
          <w:rFonts w:hint="eastAsia"/>
        </w:rPr>
        <w:t>中美貿易戰、主要航商航線配置調整</w:t>
      </w:r>
      <w:r w:rsidR="00902F08">
        <w:rPr>
          <w:rFonts w:hint="eastAsia"/>
        </w:rPr>
        <w:t>、</w:t>
      </w:r>
      <w:r w:rsidR="00854B72" w:rsidRPr="00854B72">
        <w:rPr>
          <w:rFonts w:hint="eastAsia"/>
        </w:rPr>
        <w:t>能源政策</w:t>
      </w:r>
      <w:r w:rsidR="00902F08">
        <w:rPr>
          <w:rFonts w:hint="eastAsia"/>
        </w:rPr>
        <w:t>及</w:t>
      </w:r>
      <w:r w:rsidR="00854B72" w:rsidRPr="00854B72">
        <w:rPr>
          <w:rFonts w:hint="eastAsia"/>
        </w:rPr>
        <w:t>COVID-19疫情</w:t>
      </w:r>
      <w:r w:rsidR="00902F08">
        <w:rPr>
          <w:rFonts w:hint="eastAsia"/>
        </w:rPr>
        <w:t>等影響</w:t>
      </w:r>
      <w:r w:rsidR="00854B72" w:rsidRPr="00854B72">
        <w:rPr>
          <w:rFonts w:hint="eastAsia"/>
        </w:rPr>
        <w:t>，致裝卸業務</w:t>
      </w:r>
      <w:r w:rsidR="00902F08">
        <w:rPr>
          <w:rFonts w:hint="eastAsia"/>
        </w:rPr>
        <w:t>之營運量值均</w:t>
      </w:r>
      <w:r w:rsidR="00854B72" w:rsidRPr="00854B72">
        <w:rPr>
          <w:rFonts w:hint="eastAsia"/>
        </w:rPr>
        <w:t>未達預算目標</w:t>
      </w:r>
      <w:r w:rsidR="00902F08">
        <w:rPr>
          <w:rFonts w:hint="eastAsia"/>
        </w:rPr>
        <w:t>，</w:t>
      </w:r>
      <w:r w:rsidR="001A05BC">
        <w:rPr>
          <w:rFonts w:hint="eastAsia"/>
        </w:rPr>
        <w:t>尤</w:t>
      </w:r>
      <w:r w:rsidR="00902F08">
        <w:rPr>
          <w:rFonts w:hint="eastAsia"/>
        </w:rPr>
        <w:t>以</w:t>
      </w:r>
      <w:r w:rsidR="00902F08" w:rsidRPr="00902F08">
        <w:rPr>
          <w:rFonts w:hint="eastAsia"/>
        </w:rPr>
        <w:t>高雄港</w:t>
      </w:r>
      <w:r w:rsidR="00902F08">
        <w:rPr>
          <w:rFonts w:hint="eastAsia"/>
        </w:rPr>
        <w:t>受</w:t>
      </w:r>
      <w:r w:rsidR="00902F08" w:rsidRPr="00902F08">
        <w:rPr>
          <w:rFonts w:hint="eastAsia"/>
        </w:rPr>
        <w:t>影響</w:t>
      </w:r>
      <w:r w:rsidR="00902F08">
        <w:rPr>
          <w:rFonts w:hint="eastAsia"/>
        </w:rPr>
        <w:t>最鉅；且</w:t>
      </w:r>
      <w:r w:rsidR="00902F08" w:rsidRPr="00902F08">
        <w:rPr>
          <w:rFonts w:hint="eastAsia"/>
        </w:rPr>
        <w:t>鄰近貨櫃港口之崛起，使亞洲地區商港之競爭加劇，高雄港貨櫃裝卸量成長力道趨緩</w:t>
      </w:r>
      <w:r w:rsidRPr="00854B72">
        <w:rPr>
          <w:rFonts w:hint="eastAsia"/>
        </w:rPr>
        <w:t>，允宜持續</w:t>
      </w:r>
      <w:r w:rsidR="00D45E9B">
        <w:rPr>
          <w:rFonts w:hint="eastAsia"/>
        </w:rPr>
        <w:t>研謀改善</w:t>
      </w:r>
      <w:r w:rsidRPr="00854B72">
        <w:rPr>
          <w:rFonts w:hint="eastAsia"/>
        </w:rPr>
        <w:t>，以提升競爭力。</w:t>
      </w:r>
    </w:p>
    <w:p w:rsidR="00C017DD" w:rsidRPr="005D24D3" w:rsidRDefault="00C017DD" w:rsidP="00700921">
      <w:pPr>
        <w:pStyle w:val="14"/>
        <w:ind w:left="568" w:hanging="568"/>
        <w:rPr>
          <w:snapToGrid/>
          <w:color w:val="000000"/>
        </w:rPr>
      </w:pPr>
    </w:p>
    <w:p w:rsidR="00C017DD" w:rsidRPr="00C10D2D" w:rsidRDefault="00C017DD" w:rsidP="00700921">
      <w:pPr>
        <w:pStyle w:val="14"/>
        <w:ind w:left="568" w:hanging="568"/>
        <w:rPr>
          <w:rFonts w:hint="eastAsia"/>
          <w:color w:val="000000"/>
        </w:rPr>
      </w:pPr>
      <w:bookmarkStart w:id="27" w:name="_Toc96008980"/>
      <w:r>
        <w:rPr>
          <w:rFonts w:hint="eastAsia"/>
          <w:snapToGrid/>
          <w:color w:val="000000"/>
        </w:rPr>
        <w:t>二</w:t>
      </w:r>
      <w:r w:rsidRPr="00C10D2D">
        <w:rPr>
          <w:rFonts w:hint="eastAsia"/>
          <w:snapToGrid/>
          <w:color w:val="000000"/>
        </w:rPr>
        <w:t>、</w:t>
      </w:r>
      <w:bookmarkEnd w:id="24"/>
      <w:r w:rsidRPr="006A462B">
        <w:rPr>
          <w:rFonts w:hint="eastAsia"/>
          <w:snapToGrid/>
          <w:color w:val="000000"/>
        </w:rPr>
        <w:t>高雄港客運專區建設計畫</w:t>
      </w:r>
      <w:r w:rsidR="00D40444">
        <w:rPr>
          <w:rFonts w:hint="eastAsia"/>
          <w:snapToGrid/>
          <w:color w:val="000000"/>
        </w:rPr>
        <w:t>經5次修正，</w:t>
      </w:r>
      <w:r w:rsidRPr="006A462B">
        <w:rPr>
          <w:rFonts w:hint="eastAsia"/>
          <w:snapToGrid/>
          <w:color w:val="000000"/>
        </w:rPr>
        <w:t>允宜積極控管進度，俾提升高雄港之旅運設施，帶動港埠觀光遊憩產業</w:t>
      </w:r>
      <w:bookmarkEnd w:id="27"/>
    </w:p>
    <w:p w:rsidR="00C017DD" w:rsidRDefault="00C017DD" w:rsidP="00700921">
      <w:pPr>
        <w:pStyle w:val="aff"/>
        <w:ind w:left="567" w:firstLine="567"/>
      </w:pPr>
      <w:r w:rsidRPr="00646B87">
        <w:rPr>
          <w:rFonts w:hint="eastAsia"/>
        </w:rPr>
        <w:t>港務公司10</w:t>
      </w:r>
      <w:r>
        <w:t>9</w:t>
      </w:r>
      <w:r w:rsidRPr="00646B87">
        <w:rPr>
          <w:rFonts w:hint="eastAsia"/>
        </w:rPr>
        <w:t>年度</w:t>
      </w:r>
      <w:r w:rsidRPr="00B970C9">
        <w:rPr>
          <w:rFonts w:hint="eastAsia"/>
        </w:rPr>
        <w:t>「高雄港客運專區建設計畫」以前年度保留轉入數</w:t>
      </w:r>
      <w:r>
        <w:rPr>
          <w:rFonts w:hint="eastAsia"/>
        </w:rPr>
        <w:t>1</w:t>
      </w:r>
      <w:r>
        <w:t>3</w:t>
      </w:r>
      <w:r w:rsidRPr="00646B87">
        <w:rPr>
          <w:rFonts w:hint="eastAsia"/>
        </w:rPr>
        <w:t>億</w:t>
      </w:r>
      <w:r>
        <w:rPr>
          <w:rFonts w:hint="eastAsia"/>
        </w:rPr>
        <w:t>5</w:t>
      </w:r>
      <w:r w:rsidRPr="00646B87">
        <w:rPr>
          <w:rFonts w:hint="eastAsia"/>
        </w:rPr>
        <w:t>,</w:t>
      </w:r>
      <w:r>
        <w:t>060</w:t>
      </w:r>
      <w:r w:rsidRPr="00646B87">
        <w:rPr>
          <w:rFonts w:hint="eastAsia"/>
        </w:rPr>
        <w:t>萬</w:t>
      </w:r>
      <w:r>
        <w:rPr>
          <w:rFonts w:hint="eastAsia"/>
        </w:rPr>
        <w:t>1</w:t>
      </w:r>
      <w:r w:rsidRPr="00646B87">
        <w:rPr>
          <w:rFonts w:hint="eastAsia"/>
        </w:rPr>
        <w:t>千元，決算數</w:t>
      </w:r>
      <w:r>
        <w:rPr>
          <w:rFonts w:hint="eastAsia"/>
        </w:rPr>
        <w:t>5</w:t>
      </w:r>
      <w:r w:rsidRPr="00646B87">
        <w:rPr>
          <w:rFonts w:hint="eastAsia"/>
        </w:rPr>
        <w:t>億</w:t>
      </w:r>
      <w:r>
        <w:rPr>
          <w:rFonts w:hint="eastAsia"/>
        </w:rPr>
        <w:t>6</w:t>
      </w:r>
      <w:r>
        <w:t>,484</w:t>
      </w:r>
      <w:r w:rsidRPr="00646B87">
        <w:rPr>
          <w:rFonts w:hint="eastAsia"/>
        </w:rPr>
        <w:t>萬9千元</w:t>
      </w:r>
      <w:r>
        <w:rPr>
          <w:rFonts w:hint="eastAsia"/>
        </w:rPr>
        <w:t>，預算執行率為41.82%，</w:t>
      </w:r>
      <w:r w:rsidRPr="00B970C9">
        <w:rPr>
          <w:rFonts w:hint="eastAsia"/>
        </w:rPr>
        <w:t>保留</w:t>
      </w:r>
      <w:r>
        <w:rPr>
          <w:rFonts w:hint="eastAsia"/>
        </w:rPr>
        <w:t>7億8,575萬2千</w:t>
      </w:r>
      <w:r w:rsidRPr="00B970C9">
        <w:rPr>
          <w:rFonts w:hint="eastAsia"/>
        </w:rPr>
        <w:t>元</w:t>
      </w:r>
      <w:r>
        <w:rPr>
          <w:rFonts w:hint="eastAsia"/>
        </w:rPr>
        <w:t>至下年度繼續執行。</w:t>
      </w:r>
    </w:p>
    <w:p w:rsidR="00C017DD" w:rsidRDefault="00C017DD" w:rsidP="00D95C77">
      <w:pPr>
        <w:pStyle w:val="aff"/>
        <w:ind w:left="567" w:firstLine="567"/>
        <w:rPr>
          <w:color w:val="000000"/>
        </w:rPr>
      </w:pPr>
      <w:r w:rsidRPr="00B970C9">
        <w:rPr>
          <w:rFonts w:hint="eastAsia"/>
        </w:rPr>
        <w:t>「高雄港客運專區建設計畫」</w:t>
      </w:r>
      <w:r>
        <w:rPr>
          <w:rFonts w:hint="eastAsia"/>
        </w:rPr>
        <w:t>101至108年間計辦理4次修正計畫，計畫期程自102年展延至109年底，計畫經費自28億5,10</w:t>
      </w:r>
      <w:r w:rsidR="005A1C99">
        <w:rPr>
          <w:rFonts w:hint="eastAsia"/>
        </w:rPr>
        <w:t>0餘</w:t>
      </w:r>
      <w:r>
        <w:rPr>
          <w:rFonts w:hint="eastAsia"/>
        </w:rPr>
        <w:t>萬元擴增至45億1,700萬元。該計畫109年度預算執行及工程進度落後，據港務公司說明，係因</w:t>
      </w:r>
      <w:r w:rsidRPr="00EC1E0D">
        <w:rPr>
          <w:rFonts w:hint="eastAsia"/>
        </w:rPr>
        <w:t>建築工程帷幕外牆為3D自由曲面，由玻璃、鋁板、外飾板等組成版片，材料加工困難度高，且所需繪圖人員與技術人員短缺，造成施工進度緩慢，</w:t>
      </w:r>
      <w:r>
        <w:rPr>
          <w:rFonts w:hint="eastAsia"/>
        </w:rPr>
        <w:t>爰於109年</w:t>
      </w:r>
      <w:r>
        <w:t> </w:t>
      </w:r>
      <w:r>
        <w:rPr>
          <w:rFonts w:hint="eastAsia"/>
        </w:rPr>
        <w:t>8月經交通部同意修正計畫，</w:t>
      </w:r>
      <w:r w:rsidRPr="00EC1E0D">
        <w:rPr>
          <w:rFonts w:hint="eastAsia"/>
        </w:rPr>
        <w:t>完工期程</w:t>
      </w:r>
      <w:r w:rsidR="00E25832">
        <w:rPr>
          <w:rFonts w:hint="eastAsia"/>
        </w:rPr>
        <w:t>再</w:t>
      </w:r>
      <w:r>
        <w:rPr>
          <w:rFonts w:hint="eastAsia"/>
        </w:rPr>
        <w:t>展</w:t>
      </w:r>
      <w:r w:rsidRPr="00EC1E0D">
        <w:rPr>
          <w:rFonts w:hint="eastAsia"/>
        </w:rPr>
        <w:t>延至110年度</w:t>
      </w:r>
      <w:r w:rsidR="00337C50">
        <w:rPr>
          <w:rStyle w:val="aff0"/>
        </w:rPr>
        <w:footnoteReference w:id="3"/>
      </w:r>
      <w:r w:rsidR="00D95C77">
        <w:rPr>
          <w:rFonts w:hint="eastAsia"/>
        </w:rPr>
        <w:t>(詳</w:t>
      </w:r>
      <w:r w:rsidR="00EA0706">
        <w:rPr>
          <w:rFonts w:hint="eastAsia"/>
        </w:rPr>
        <w:t>表1)</w:t>
      </w:r>
      <w:r w:rsidR="00337C50" w:rsidRPr="00337C50">
        <w:rPr>
          <w:rFonts w:hint="eastAsia"/>
        </w:rPr>
        <w:t xml:space="preserve"> </w:t>
      </w:r>
      <w:r w:rsidR="00337C50">
        <w:rPr>
          <w:rFonts w:hint="eastAsia"/>
        </w:rPr>
        <w:t>。</w:t>
      </w:r>
    </w:p>
    <w:p w:rsidR="00C017DD" w:rsidRDefault="00C017DD" w:rsidP="006A462B">
      <w:pPr>
        <w:ind w:left="567" w:firstLine="567"/>
      </w:pPr>
      <w:r w:rsidRPr="00C10D2D">
        <w:rPr>
          <w:rFonts w:hint="eastAsia"/>
        </w:rPr>
        <w:t>綜上，</w:t>
      </w:r>
      <w:r w:rsidRPr="00DA3323">
        <w:rPr>
          <w:rFonts w:hint="eastAsia"/>
        </w:rPr>
        <w:t>「高雄港客運專區建設計畫」</w:t>
      </w:r>
      <w:r>
        <w:rPr>
          <w:rFonts w:hint="eastAsia"/>
        </w:rPr>
        <w:t>原定102年底完工，經</w:t>
      </w:r>
      <w:r w:rsidR="005A1C99">
        <w:rPr>
          <w:rFonts w:hint="eastAsia"/>
        </w:rPr>
        <w:t>5</w:t>
      </w:r>
      <w:r>
        <w:rPr>
          <w:rFonts w:hint="eastAsia"/>
        </w:rPr>
        <w:t>次修正計畫，擴增經費並展延期程至110年底，</w:t>
      </w:r>
      <w:r w:rsidR="005A1C99">
        <w:rPr>
          <w:rFonts w:hint="eastAsia"/>
        </w:rPr>
        <w:t>並預計於</w:t>
      </w:r>
      <w:r w:rsidR="005A1C99" w:rsidRPr="005A1C99">
        <w:rPr>
          <w:rFonts w:hint="eastAsia"/>
        </w:rPr>
        <w:t>111年6月底取得旅運設施使用執照</w:t>
      </w:r>
      <w:r w:rsidR="005A1C99">
        <w:rPr>
          <w:rFonts w:hint="eastAsia"/>
        </w:rPr>
        <w:t>，</w:t>
      </w:r>
      <w:r>
        <w:rPr>
          <w:rFonts w:hint="eastAsia"/>
        </w:rPr>
        <w:t>規劃、設計至施工延宕多年</w:t>
      </w:r>
      <w:r w:rsidRPr="00410005">
        <w:rPr>
          <w:rFonts w:hint="eastAsia"/>
        </w:rPr>
        <w:t>，</w:t>
      </w:r>
      <w:r>
        <w:rPr>
          <w:rFonts w:hint="eastAsia"/>
        </w:rPr>
        <w:t>允宜</w:t>
      </w:r>
      <w:r w:rsidRPr="007900DF">
        <w:rPr>
          <w:rFonts w:hint="eastAsia"/>
        </w:rPr>
        <w:t>強化</w:t>
      </w:r>
      <w:r>
        <w:rPr>
          <w:rFonts w:hint="eastAsia"/>
        </w:rPr>
        <w:t>計畫之規劃及執行，並積極控管進度，俾提升高雄港之</w:t>
      </w:r>
      <w:r w:rsidRPr="006A462B">
        <w:rPr>
          <w:rFonts w:hint="eastAsia"/>
        </w:rPr>
        <w:t>旅運設施，帶動港埠觀光遊憩產業。</w:t>
      </w:r>
    </w:p>
    <w:p w:rsidR="00226CF6" w:rsidRPr="00226CF6" w:rsidRDefault="00226CF6" w:rsidP="00226CF6">
      <w:pPr>
        <w:ind w:leftChars="0" w:left="0" w:firstLineChars="0" w:firstLine="0"/>
      </w:pPr>
      <w:r w:rsidRPr="00AB5742">
        <w:rPr>
          <w:rFonts w:hint="eastAsia"/>
          <w:b/>
          <w:lang w:eastAsia="zh-HK"/>
        </w:rPr>
        <w:t>表</w:t>
      </w:r>
      <w:r>
        <w:rPr>
          <w:rFonts w:hint="eastAsia"/>
          <w:b/>
        </w:rPr>
        <w:t xml:space="preserve">1  </w:t>
      </w:r>
      <w:r w:rsidRPr="00226CF6">
        <w:rPr>
          <w:rFonts w:hint="eastAsia"/>
          <w:b/>
        </w:rPr>
        <w:t>高雄港客運專區建設計畫</w:t>
      </w:r>
      <w:r>
        <w:rPr>
          <w:rFonts w:hint="eastAsia"/>
          <w:b/>
        </w:rPr>
        <w:t xml:space="preserve">修正概況            </w:t>
      </w:r>
      <w:r w:rsidRPr="00226CF6">
        <w:rPr>
          <w:rFonts w:hint="eastAsia"/>
          <w:sz w:val="24"/>
          <w:szCs w:val="24"/>
        </w:rPr>
        <w:t>單位：新臺幣千元</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72"/>
        <w:gridCol w:w="3593"/>
        <w:gridCol w:w="1170"/>
        <w:gridCol w:w="876"/>
        <w:gridCol w:w="794"/>
        <w:gridCol w:w="783"/>
      </w:tblGrid>
      <w:tr w:rsidR="00226CF6" w:rsidRPr="006564D0" w:rsidTr="00226CF6">
        <w:trPr>
          <w:trHeight w:val="340"/>
          <w:tblHeader/>
        </w:trPr>
        <w:tc>
          <w:tcPr>
            <w:tcW w:w="799" w:type="pct"/>
            <w:vMerge w:val="restart"/>
            <w:shd w:val="clear" w:color="000000" w:fill="FFFFFF"/>
            <w:vAlign w:val="center"/>
            <w:hideMark/>
          </w:tcPr>
          <w:p w:rsidR="00226CF6" w:rsidRPr="006564D0" w:rsidRDefault="00226CF6" w:rsidP="00226CF6">
            <w:pPr>
              <w:pStyle w:val="142"/>
              <w:jc w:val="center"/>
              <w:rPr>
                <w:sz w:val="22"/>
              </w:rPr>
            </w:pPr>
            <w:r w:rsidRPr="006564D0">
              <w:rPr>
                <w:sz w:val="22"/>
              </w:rPr>
              <w:t>修正情形</w:t>
            </w:r>
          </w:p>
        </w:tc>
        <w:tc>
          <w:tcPr>
            <w:tcW w:w="2092" w:type="pct"/>
            <w:vMerge w:val="restart"/>
            <w:shd w:val="clear" w:color="000000" w:fill="FFFFFF"/>
            <w:vAlign w:val="center"/>
            <w:hideMark/>
          </w:tcPr>
          <w:p w:rsidR="00226CF6" w:rsidRPr="006564D0" w:rsidRDefault="00226CF6" w:rsidP="00226CF6">
            <w:pPr>
              <w:pStyle w:val="142"/>
              <w:jc w:val="center"/>
              <w:rPr>
                <w:sz w:val="22"/>
              </w:rPr>
            </w:pPr>
            <w:r w:rsidRPr="006564D0">
              <w:rPr>
                <w:sz w:val="22"/>
              </w:rPr>
              <w:t>修正原因簡述</w:t>
            </w:r>
          </w:p>
        </w:tc>
        <w:tc>
          <w:tcPr>
            <w:tcW w:w="681" w:type="pct"/>
            <w:vMerge w:val="restart"/>
            <w:shd w:val="clear" w:color="000000" w:fill="FFFFFF"/>
            <w:vAlign w:val="center"/>
            <w:hideMark/>
          </w:tcPr>
          <w:p w:rsidR="00226CF6" w:rsidRPr="006564D0" w:rsidRDefault="00226CF6" w:rsidP="00226CF6">
            <w:pPr>
              <w:pStyle w:val="142"/>
              <w:jc w:val="center"/>
              <w:rPr>
                <w:sz w:val="22"/>
              </w:rPr>
            </w:pPr>
            <w:r w:rsidRPr="006564D0">
              <w:rPr>
                <w:sz w:val="22"/>
              </w:rPr>
              <w:t>計畫金額</w:t>
            </w:r>
          </w:p>
        </w:tc>
        <w:tc>
          <w:tcPr>
            <w:tcW w:w="972" w:type="pct"/>
            <w:gridSpan w:val="2"/>
            <w:shd w:val="clear" w:color="000000" w:fill="FFFFFF"/>
            <w:vAlign w:val="center"/>
            <w:hideMark/>
          </w:tcPr>
          <w:p w:rsidR="00226CF6" w:rsidRPr="006564D0" w:rsidRDefault="00226CF6" w:rsidP="00226CF6">
            <w:pPr>
              <w:pStyle w:val="142"/>
              <w:jc w:val="center"/>
              <w:rPr>
                <w:sz w:val="22"/>
              </w:rPr>
            </w:pPr>
            <w:r w:rsidRPr="006564D0">
              <w:rPr>
                <w:sz w:val="22"/>
              </w:rPr>
              <w:t>起迄年月</w:t>
            </w:r>
          </w:p>
        </w:tc>
        <w:tc>
          <w:tcPr>
            <w:tcW w:w="456" w:type="pct"/>
            <w:vMerge w:val="restart"/>
            <w:shd w:val="clear" w:color="000000" w:fill="FFFFFF"/>
            <w:vAlign w:val="center"/>
          </w:tcPr>
          <w:p w:rsidR="00226CF6" w:rsidRPr="006564D0" w:rsidRDefault="00226CF6" w:rsidP="00226CF6">
            <w:pPr>
              <w:pStyle w:val="142"/>
              <w:jc w:val="center"/>
            </w:pPr>
            <w:r w:rsidRPr="006564D0">
              <w:t>核定</w:t>
            </w:r>
          </w:p>
          <w:p w:rsidR="00226CF6" w:rsidRPr="006564D0" w:rsidRDefault="00226CF6" w:rsidP="00226CF6">
            <w:pPr>
              <w:pStyle w:val="142"/>
              <w:jc w:val="center"/>
              <w:rPr>
                <w:sz w:val="22"/>
              </w:rPr>
            </w:pPr>
            <w:r w:rsidRPr="006564D0">
              <w:t>年月</w:t>
            </w:r>
          </w:p>
        </w:tc>
      </w:tr>
      <w:tr w:rsidR="00226CF6" w:rsidRPr="006564D0" w:rsidTr="00226CF6">
        <w:trPr>
          <w:trHeight w:val="340"/>
        </w:trPr>
        <w:tc>
          <w:tcPr>
            <w:tcW w:w="799" w:type="pct"/>
            <w:vMerge/>
            <w:shd w:val="clear" w:color="000000" w:fill="FFFFFF"/>
            <w:vAlign w:val="center"/>
            <w:hideMark/>
          </w:tcPr>
          <w:p w:rsidR="00226CF6" w:rsidRPr="006564D0" w:rsidRDefault="00226CF6" w:rsidP="00226CF6">
            <w:pPr>
              <w:pStyle w:val="142"/>
              <w:rPr>
                <w:sz w:val="22"/>
              </w:rPr>
            </w:pPr>
          </w:p>
        </w:tc>
        <w:tc>
          <w:tcPr>
            <w:tcW w:w="2092" w:type="pct"/>
            <w:vMerge/>
            <w:shd w:val="clear" w:color="000000" w:fill="FFFFFF"/>
            <w:vAlign w:val="center"/>
            <w:hideMark/>
          </w:tcPr>
          <w:p w:rsidR="00226CF6" w:rsidRPr="006564D0" w:rsidRDefault="00226CF6" w:rsidP="00226CF6">
            <w:pPr>
              <w:pStyle w:val="142"/>
              <w:rPr>
                <w:sz w:val="22"/>
              </w:rPr>
            </w:pPr>
          </w:p>
        </w:tc>
        <w:tc>
          <w:tcPr>
            <w:tcW w:w="681" w:type="pct"/>
            <w:vMerge/>
            <w:vAlign w:val="center"/>
            <w:hideMark/>
          </w:tcPr>
          <w:p w:rsidR="00226CF6" w:rsidRPr="006564D0" w:rsidRDefault="00226CF6" w:rsidP="00226CF6">
            <w:pPr>
              <w:pStyle w:val="142"/>
              <w:rPr>
                <w:sz w:val="22"/>
              </w:rPr>
            </w:pPr>
          </w:p>
        </w:tc>
        <w:tc>
          <w:tcPr>
            <w:tcW w:w="510" w:type="pct"/>
            <w:shd w:val="clear" w:color="000000" w:fill="FFFFFF"/>
            <w:vAlign w:val="center"/>
            <w:hideMark/>
          </w:tcPr>
          <w:p w:rsidR="00226CF6" w:rsidRPr="006564D0" w:rsidRDefault="00226CF6" w:rsidP="00226CF6">
            <w:pPr>
              <w:pStyle w:val="142"/>
              <w:jc w:val="center"/>
              <w:rPr>
                <w:sz w:val="22"/>
              </w:rPr>
            </w:pPr>
            <w:r w:rsidRPr="006564D0">
              <w:rPr>
                <w:sz w:val="22"/>
              </w:rPr>
              <w:t>起</w:t>
            </w:r>
          </w:p>
        </w:tc>
        <w:tc>
          <w:tcPr>
            <w:tcW w:w="462" w:type="pct"/>
            <w:shd w:val="clear" w:color="000000" w:fill="FFFFFF"/>
            <w:vAlign w:val="center"/>
            <w:hideMark/>
          </w:tcPr>
          <w:p w:rsidR="00226CF6" w:rsidRPr="006564D0" w:rsidRDefault="00226CF6" w:rsidP="00226CF6">
            <w:pPr>
              <w:pStyle w:val="142"/>
              <w:jc w:val="center"/>
              <w:rPr>
                <w:sz w:val="22"/>
              </w:rPr>
            </w:pPr>
            <w:r w:rsidRPr="006564D0">
              <w:rPr>
                <w:sz w:val="22"/>
              </w:rPr>
              <w:t>迄</w:t>
            </w:r>
          </w:p>
        </w:tc>
        <w:tc>
          <w:tcPr>
            <w:tcW w:w="456" w:type="pct"/>
            <w:vMerge/>
            <w:shd w:val="clear" w:color="000000" w:fill="FFFFFF"/>
            <w:vAlign w:val="center"/>
          </w:tcPr>
          <w:p w:rsidR="00226CF6" w:rsidRPr="006564D0" w:rsidRDefault="00226CF6" w:rsidP="00226CF6">
            <w:pPr>
              <w:pStyle w:val="142"/>
              <w:rPr>
                <w:sz w:val="22"/>
              </w:rPr>
            </w:pPr>
          </w:p>
        </w:tc>
      </w:tr>
      <w:tr w:rsidR="00226CF6" w:rsidRPr="006564D0" w:rsidTr="00226CF6">
        <w:trPr>
          <w:trHeight w:val="340"/>
        </w:trPr>
        <w:tc>
          <w:tcPr>
            <w:tcW w:w="799" w:type="pct"/>
            <w:shd w:val="clear" w:color="000000" w:fill="FFFFFF"/>
            <w:noWrap/>
            <w:vAlign w:val="center"/>
            <w:hideMark/>
          </w:tcPr>
          <w:p w:rsidR="00226CF6" w:rsidRPr="006564D0" w:rsidRDefault="00226CF6" w:rsidP="00226CF6">
            <w:pPr>
              <w:pStyle w:val="142"/>
            </w:pPr>
            <w:r w:rsidRPr="006564D0">
              <w:t>原計畫</w:t>
            </w:r>
          </w:p>
        </w:tc>
        <w:tc>
          <w:tcPr>
            <w:tcW w:w="2092" w:type="pct"/>
            <w:shd w:val="clear" w:color="000000" w:fill="FFFFFF"/>
            <w:vAlign w:val="center"/>
            <w:hideMark/>
          </w:tcPr>
          <w:p w:rsidR="00226CF6" w:rsidRPr="006564D0" w:rsidRDefault="00226CF6" w:rsidP="00226CF6">
            <w:pPr>
              <w:pStyle w:val="142"/>
              <w:jc w:val="center"/>
            </w:pPr>
            <w:r w:rsidRPr="006564D0">
              <w:t>-</w:t>
            </w:r>
          </w:p>
        </w:tc>
        <w:tc>
          <w:tcPr>
            <w:tcW w:w="681" w:type="pct"/>
            <w:shd w:val="clear" w:color="000000" w:fill="FFFFFF"/>
            <w:vAlign w:val="center"/>
          </w:tcPr>
          <w:p w:rsidR="00226CF6" w:rsidRPr="006564D0" w:rsidRDefault="00226CF6" w:rsidP="00226CF6">
            <w:pPr>
              <w:pStyle w:val="142"/>
              <w:jc w:val="right"/>
            </w:pPr>
            <w:r w:rsidRPr="006564D0">
              <w:t>2,851,098</w:t>
            </w:r>
          </w:p>
        </w:tc>
        <w:tc>
          <w:tcPr>
            <w:tcW w:w="510" w:type="pct"/>
            <w:shd w:val="clear" w:color="000000" w:fill="FFFFFF"/>
            <w:vAlign w:val="center"/>
          </w:tcPr>
          <w:p w:rsidR="00226CF6" w:rsidRPr="006564D0" w:rsidRDefault="00226CF6" w:rsidP="00226CF6">
            <w:pPr>
              <w:pStyle w:val="142"/>
              <w:jc w:val="center"/>
            </w:pPr>
            <w:r w:rsidRPr="006564D0">
              <w:t>99/01</w:t>
            </w:r>
          </w:p>
        </w:tc>
        <w:tc>
          <w:tcPr>
            <w:tcW w:w="462" w:type="pct"/>
            <w:shd w:val="clear" w:color="000000" w:fill="FFFFFF"/>
            <w:vAlign w:val="center"/>
          </w:tcPr>
          <w:p w:rsidR="00226CF6" w:rsidRPr="006564D0" w:rsidRDefault="00226CF6" w:rsidP="00226CF6">
            <w:pPr>
              <w:pStyle w:val="142"/>
              <w:jc w:val="center"/>
            </w:pPr>
            <w:r w:rsidRPr="006564D0">
              <w:t>102/12</w:t>
            </w:r>
          </w:p>
        </w:tc>
        <w:tc>
          <w:tcPr>
            <w:tcW w:w="456" w:type="pct"/>
            <w:shd w:val="clear" w:color="000000" w:fill="FFFFFF"/>
            <w:vAlign w:val="center"/>
          </w:tcPr>
          <w:p w:rsidR="00226CF6" w:rsidRPr="006564D0" w:rsidRDefault="00226CF6" w:rsidP="00226CF6">
            <w:pPr>
              <w:pStyle w:val="142"/>
              <w:jc w:val="center"/>
            </w:pPr>
            <w:r>
              <w:rPr>
                <w:rFonts w:hint="eastAsia"/>
              </w:rPr>
              <w:t>0</w:t>
            </w:r>
            <w:r w:rsidRPr="006564D0">
              <w:t>98/10</w:t>
            </w:r>
          </w:p>
        </w:tc>
      </w:tr>
      <w:tr w:rsidR="00226CF6" w:rsidRPr="006564D0" w:rsidTr="00226CF6">
        <w:trPr>
          <w:trHeight w:val="340"/>
        </w:trPr>
        <w:tc>
          <w:tcPr>
            <w:tcW w:w="799" w:type="pct"/>
            <w:shd w:val="clear" w:color="000000" w:fill="FFFFFF"/>
            <w:noWrap/>
            <w:vAlign w:val="center"/>
            <w:hideMark/>
          </w:tcPr>
          <w:p w:rsidR="00226CF6" w:rsidRPr="006564D0" w:rsidRDefault="00226CF6" w:rsidP="00226CF6">
            <w:pPr>
              <w:pStyle w:val="142"/>
            </w:pPr>
            <w:r w:rsidRPr="006564D0">
              <w:t>第一次修正</w:t>
            </w:r>
          </w:p>
        </w:tc>
        <w:tc>
          <w:tcPr>
            <w:tcW w:w="2092" w:type="pct"/>
            <w:shd w:val="clear" w:color="000000" w:fill="FFFFFF"/>
            <w:vAlign w:val="center"/>
            <w:hideMark/>
          </w:tcPr>
          <w:p w:rsidR="00226CF6" w:rsidRPr="006564D0" w:rsidRDefault="00226CF6" w:rsidP="00226CF6">
            <w:pPr>
              <w:pStyle w:val="142"/>
              <w:jc w:val="both"/>
            </w:pPr>
            <w:r w:rsidRPr="006564D0">
              <w:t>因停車位及樓地板面積需求增加，為覈實反映建造成本。</w:t>
            </w:r>
          </w:p>
        </w:tc>
        <w:tc>
          <w:tcPr>
            <w:tcW w:w="681" w:type="pct"/>
            <w:shd w:val="clear" w:color="000000" w:fill="FFFFFF"/>
            <w:vAlign w:val="center"/>
            <w:hideMark/>
          </w:tcPr>
          <w:p w:rsidR="00226CF6" w:rsidRPr="006564D0" w:rsidRDefault="00226CF6" w:rsidP="00226CF6">
            <w:pPr>
              <w:pStyle w:val="142"/>
              <w:jc w:val="right"/>
            </w:pPr>
            <w:r w:rsidRPr="006564D0">
              <w:t>4,143,922</w:t>
            </w:r>
          </w:p>
        </w:tc>
        <w:tc>
          <w:tcPr>
            <w:tcW w:w="510" w:type="pct"/>
            <w:shd w:val="clear" w:color="000000" w:fill="FFFFFF"/>
            <w:vAlign w:val="center"/>
            <w:hideMark/>
          </w:tcPr>
          <w:p w:rsidR="00226CF6" w:rsidRPr="006564D0" w:rsidRDefault="00226CF6" w:rsidP="00226CF6">
            <w:pPr>
              <w:pStyle w:val="142"/>
              <w:jc w:val="center"/>
            </w:pPr>
            <w:r w:rsidRPr="006564D0">
              <w:t>99/01</w:t>
            </w:r>
          </w:p>
        </w:tc>
        <w:tc>
          <w:tcPr>
            <w:tcW w:w="462" w:type="pct"/>
            <w:shd w:val="clear" w:color="000000" w:fill="FFFFFF"/>
            <w:vAlign w:val="center"/>
            <w:hideMark/>
          </w:tcPr>
          <w:p w:rsidR="00226CF6" w:rsidRPr="006564D0" w:rsidRDefault="00226CF6" w:rsidP="00226CF6">
            <w:pPr>
              <w:pStyle w:val="142"/>
              <w:jc w:val="center"/>
            </w:pPr>
            <w:r w:rsidRPr="006564D0">
              <w:t>104/10</w:t>
            </w:r>
          </w:p>
        </w:tc>
        <w:tc>
          <w:tcPr>
            <w:tcW w:w="456" w:type="pct"/>
            <w:shd w:val="clear" w:color="000000" w:fill="FFFFFF"/>
            <w:vAlign w:val="center"/>
          </w:tcPr>
          <w:p w:rsidR="00226CF6" w:rsidRPr="006564D0" w:rsidRDefault="00226CF6" w:rsidP="00226CF6">
            <w:pPr>
              <w:pStyle w:val="142"/>
              <w:jc w:val="center"/>
            </w:pPr>
            <w:r w:rsidRPr="006564D0">
              <w:t>101/09</w:t>
            </w:r>
          </w:p>
        </w:tc>
      </w:tr>
      <w:tr w:rsidR="00226CF6" w:rsidRPr="006564D0" w:rsidTr="00226CF6">
        <w:trPr>
          <w:trHeight w:val="340"/>
        </w:trPr>
        <w:tc>
          <w:tcPr>
            <w:tcW w:w="799" w:type="pct"/>
            <w:shd w:val="clear" w:color="000000" w:fill="FFFFFF"/>
            <w:noWrap/>
            <w:vAlign w:val="center"/>
          </w:tcPr>
          <w:p w:rsidR="00226CF6" w:rsidRPr="006564D0" w:rsidRDefault="00226CF6" w:rsidP="00226CF6">
            <w:pPr>
              <w:pStyle w:val="142"/>
            </w:pPr>
            <w:r w:rsidRPr="006564D0">
              <w:t>第二次修正</w:t>
            </w:r>
          </w:p>
        </w:tc>
        <w:tc>
          <w:tcPr>
            <w:tcW w:w="2092" w:type="pct"/>
            <w:shd w:val="clear" w:color="000000" w:fill="FFFFFF"/>
            <w:vAlign w:val="center"/>
          </w:tcPr>
          <w:p w:rsidR="00226CF6" w:rsidRPr="006564D0" w:rsidRDefault="00226CF6" w:rsidP="00226CF6">
            <w:pPr>
              <w:pStyle w:val="142"/>
              <w:jc w:val="both"/>
            </w:pPr>
            <w:r w:rsidRPr="006564D0">
              <w:t>為配合建造執照申請辦理設計內容之調整</w:t>
            </w:r>
            <w:r w:rsidR="00840418">
              <w:rPr>
                <w:rFonts w:hint="eastAsia"/>
              </w:rPr>
              <w:t>、</w:t>
            </w:r>
            <w:r w:rsidRPr="006564D0">
              <w:t>發包策略檢討及基地油污處理等。</w:t>
            </w:r>
          </w:p>
        </w:tc>
        <w:tc>
          <w:tcPr>
            <w:tcW w:w="681" w:type="pct"/>
            <w:shd w:val="clear" w:color="000000" w:fill="FFFFFF"/>
            <w:vAlign w:val="center"/>
          </w:tcPr>
          <w:p w:rsidR="00226CF6" w:rsidRPr="006564D0" w:rsidRDefault="00226CF6" w:rsidP="00226CF6">
            <w:pPr>
              <w:pStyle w:val="142"/>
              <w:jc w:val="right"/>
            </w:pPr>
            <w:r w:rsidRPr="006564D0">
              <w:t>4,517,000</w:t>
            </w:r>
          </w:p>
        </w:tc>
        <w:tc>
          <w:tcPr>
            <w:tcW w:w="510" w:type="pct"/>
            <w:shd w:val="clear" w:color="000000" w:fill="FFFFFF"/>
            <w:vAlign w:val="center"/>
          </w:tcPr>
          <w:p w:rsidR="00226CF6" w:rsidRPr="006564D0" w:rsidRDefault="00226CF6" w:rsidP="00226CF6">
            <w:pPr>
              <w:pStyle w:val="142"/>
              <w:jc w:val="center"/>
            </w:pPr>
            <w:r w:rsidRPr="006564D0">
              <w:t>99/01</w:t>
            </w:r>
          </w:p>
        </w:tc>
        <w:tc>
          <w:tcPr>
            <w:tcW w:w="462" w:type="pct"/>
            <w:shd w:val="clear" w:color="000000" w:fill="FFFFFF"/>
            <w:vAlign w:val="center"/>
          </w:tcPr>
          <w:p w:rsidR="00226CF6" w:rsidRPr="006564D0" w:rsidRDefault="00226CF6" w:rsidP="00226CF6">
            <w:pPr>
              <w:pStyle w:val="142"/>
              <w:jc w:val="center"/>
            </w:pPr>
            <w:r w:rsidRPr="006564D0">
              <w:t>106/12</w:t>
            </w:r>
          </w:p>
        </w:tc>
        <w:tc>
          <w:tcPr>
            <w:tcW w:w="456" w:type="pct"/>
            <w:shd w:val="clear" w:color="000000" w:fill="FFFFFF"/>
            <w:vAlign w:val="center"/>
          </w:tcPr>
          <w:p w:rsidR="00226CF6" w:rsidRPr="006564D0" w:rsidRDefault="00226CF6" w:rsidP="00226CF6">
            <w:pPr>
              <w:pStyle w:val="142"/>
              <w:jc w:val="center"/>
            </w:pPr>
            <w:r w:rsidRPr="006564D0">
              <w:t>103/10</w:t>
            </w:r>
          </w:p>
        </w:tc>
      </w:tr>
      <w:tr w:rsidR="00226CF6" w:rsidRPr="006564D0" w:rsidTr="00226CF6">
        <w:trPr>
          <w:trHeight w:val="340"/>
        </w:trPr>
        <w:tc>
          <w:tcPr>
            <w:tcW w:w="799" w:type="pct"/>
            <w:shd w:val="clear" w:color="000000" w:fill="FFFFFF"/>
            <w:noWrap/>
            <w:vAlign w:val="center"/>
          </w:tcPr>
          <w:p w:rsidR="00226CF6" w:rsidRPr="006564D0" w:rsidRDefault="00226CF6" w:rsidP="00226CF6">
            <w:pPr>
              <w:pStyle w:val="142"/>
            </w:pPr>
            <w:r w:rsidRPr="006564D0">
              <w:t>第三次修正</w:t>
            </w:r>
          </w:p>
        </w:tc>
        <w:tc>
          <w:tcPr>
            <w:tcW w:w="2092" w:type="pct"/>
            <w:shd w:val="clear" w:color="000000" w:fill="FFFFFF"/>
            <w:vAlign w:val="center"/>
          </w:tcPr>
          <w:p w:rsidR="00226CF6" w:rsidRPr="006564D0" w:rsidRDefault="00226CF6" w:rsidP="00226CF6">
            <w:pPr>
              <w:pStyle w:val="142"/>
              <w:jc w:val="both"/>
            </w:pPr>
            <w:r w:rsidRPr="006564D0">
              <w:t>為配合相鄰輕軌捷運工程據以辦理地下結構體補強工程。</w:t>
            </w:r>
          </w:p>
        </w:tc>
        <w:tc>
          <w:tcPr>
            <w:tcW w:w="681" w:type="pct"/>
            <w:shd w:val="clear" w:color="000000" w:fill="FFFFFF"/>
            <w:vAlign w:val="center"/>
          </w:tcPr>
          <w:p w:rsidR="00226CF6" w:rsidRPr="006564D0" w:rsidRDefault="00226CF6" w:rsidP="00226CF6">
            <w:pPr>
              <w:pStyle w:val="142"/>
              <w:jc w:val="right"/>
            </w:pPr>
            <w:r w:rsidRPr="006564D0">
              <w:t>4,517,000</w:t>
            </w:r>
          </w:p>
        </w:tc>
        <w:tc>
          <w:tcPr>
            <w:tcW w:w="510" w:type="pct"/>
            <w:shd w:val="clear" w:color="000000" w:fill="FFFFFF"/>
            <w:vAlign w:val="center"/>
          </w:tcPr>
          <w:p w:rsidR="00226CF6" w:rsidRPr="006564D0" w:rsidRDefault="00226CF6" w:rsidP="00226CF6">
            <w:pPr>
              <w:pStyle w:val="142"/>
              <w:jc w:val="center"/>
            </w:pPr>
            <w:r w:rsidRPr="006564D0">
              <w:t>99/01</w:t>
            </w:r>
          </w:p>
        </w:tc>
        <w:tc>
          <w:tcPr>
            <w:tcW w:w="462" w:type="pct"/>
            <w:shd w:val="clear" w:color="000000" w:fill="FFFFFF"/>
            <w:vAlign w:val="center"/>
          </w:tcPr>
          <w:p w:rsidR="00226CF6" w:rsidRPr="006564D0" w:rsidRDefault="00226CF6" w:rsidP="00226CF6">
            <w:pPr>
              <w:pStyle w:val="142"/>
              <w:jc w:val="center"/>
            </w:pPr>
            <w:r w:rsidRPr="006564D0">
              <w:t>108/12</w:t>
            </w:r>
          </w:p>
        </w:tc>
        <w:tc>
          <w:tcPr>
            <w:tcW w:w="456" w:type="pct"/>
            <w:shd w:val="clear" w:color="000000" w:fill="FFFFFF"/>
            <w:vAlign w:val="center"/>
          </w:tcPr>
          <w:p w:rsidR="00226CF6" w:rsidRPr="006564D0" w:rsidRDefault="00226CF6" w:rsidP="00226CF6">
            <w:pPr>
              <w:pStyle w:val="142"/>
              <w:jc w:val="center"/>
            </w:pPr>
            <w:r w:rsidRPr="006564D0">
              <w:t>105/11</w:t>
            </w:r>
          </w:p>
        </w:tc>
      </w:tr>
      <w:tr w:rsidR="00226CF6" w:rsidRPr="006564D0" w:rsidTr="00226CF6">
        <w:trPr>
          <w:trHeight w:val="340"/>
        </w:trPr>
        <w:tc>
          <w:tcPr>
            <w:tcW w:w="799" w:type="pct"/>
            <w:shd w:val="clear" w:color="000000" w:fill="FFFFFF"/>
            <w:noWrap/>
            <w:vAlign w:val="center"/>
          </w:tcPr>
          <w:p w:rsidR="00226CF6" w:rsidRPr="006564D0" w:rsidRDefault="00226CF6" w:rsidP="00226CF6">
            <w:pPr>
              <w:pStyle w:val="142"/>
            </w:pPr>
            <w:r w:rsidRPr="006564D0">
              <w:t>第四次修正</w:t>
            </w:r>
          </w:p>
        </w:tc>
        <w:tc>
          <w:tcPr>
            <w:tcW w:w="2092" w:type="pct"/>
            <w:shd w:val="clear" w:color="000000" w:fill="FFFFFF"/>
            <w:vAlign w:val="center"/>
          </w:tcPr>
          <w:p w:rsidR="00226CF6" w:rsidRPr="006564D0" w:rsidRDefault="00226CF6" w:rsidP="00226CF6">
            <w:pPr>
              <w:pStyle w:val="142"/>
              <w:jc w:val="both"/>
            </w:pPr>
            <w:r w:rsidRPr="006564D0">
              <w:t>因一例一休及施工期間天候影響。</w:t>
            </w:r>
          </w:p>
        </w:tc>
        <w:tc>
          <w:tcPr>
            <w:tcW w:w="681" w:type="pct"/>
            <w:shd w:val="clear" w:color="000000" w:fill="FFFFFF"/>
            <w:vAlign w:val="center"/>
          </w:tcPr>
          <w:p w:rsidR="00226CF6" w:rsidRPr="006564D0" w:rsidRDefault="00226CF6" w:rsidP="00226CF6">
            <w:pPr>
              <w:pStyle w:val="142"/>
              <w:jc w:val="right"/>
            </w:pPr>
            <w:r w:rsidRPr="006564D0">
              <w:t>4,517,000</w:t>
            </w:r>
          </w:p>
        </w:tc>
        <w:tc>
          <w:tcPr>
            <w:tcW w:w="510" w:type="pct"/>
            <w:shd w:val="clear" w:color="000000" w:fill="FFFFFF"/>
            <w:vAlign w:val="center"/>
          </w:tcPr>
          <w:p w:rsidR="00226CF6" w:rsidRPr="006564D0" w:rsidRDefault="00226CF6" w:rsidP="00226CF6">
            <w:pPr>
              <w:pStyle w:val="142"/>
              <w:jc w:val="center"/>
            </w:pPr>
            <w:r w:rsidRPr="006564D0">
              <w:t>99/01</w:t>
            </w:r>
          </w:p>
        </w:tc>
        <w:tc>
          <w:tcPr>
            <w:tcW w:w="462" w:type="pct"/>
            <w:shd w:val="clear" w:color="000000" w:fill="FFFFFF"/>
            <w:vAlign w:val="center"/>
          </w:tcPr>
          <w:p w:rsidR="00226CF6" w:rsidRPr="006564D0" w:rsidRDefault="00226CF6" w:rsidP="00226CF6">
            <w:pPr>
              <w:pStyle w:val="142"/>
              <w:jc w:val="center"/>
            </w:pPr>
            <w:r w:rsidRPr="006564D0">
              <w:t>109/12</w:t>
            </w:r>
          </w:p>
        </w:tc>
        <w:tc>
          <w:tcPr>
            <w:tcW w:w="456" w:type="pct"/>
            <w:shd w:val="clear" w:color="000000" w:fill="FFFFFF"/>
            <w:vAlign w:val="center"/>
          </w:tcPr>
          <w:p w:rsidR="00226CF6" w:rsidRPr="006564D0" w:rsidRDefault="00226CF6" w:rsidP="00226CF6">
            <w:pPr>
              <w:pStyle w:val="142"/>
              <w:jc w:val="center"/>
            </w:pPr>
            <w:r w:rsidRPr="006564D0">
              <w:t>108/04</w:t>
            </w:r>
          </w:p>
        </w:tc>
      </w:tr>
      <w:tr w:rsidR="00226CF6" w:rsidRPr="006564D0" w:rsidTr="00226CF6">
        <w:trPr>
          <w:trHeight w:val="340"/>
        </w:trPr>
        <w:tc>
          <w:tcPr>
            <w:tcW w:w="799" w:type="pct"/>
            <w:shd w:val="clear" w:color="000000" w:fill="FFFFFF"/>
            <w:noWrap/>
            <w:vAlign w:val="center"/>
          </w:tcPr>
          <w:p w:rsidR="00226CF6" w:rsidRPr="006564D0" w:rsidRDefault="00226CF6" w:rsidP="00226CF6">
            <w:pPr>
              <w:pStyle w:val="142"/>
            </w:pPr>
            <w:r w:rsidRPr="006564D0">
              <w:t>第五次修正</w:t>
            </w:r>
          </w:p>
        </w:tc>
        <w:tc>
          <w:tcPr>
            <w:tcW w:w="2092" w:type="pct"/>
            <w:shd w:val="clear" w:color="000000" w:fill="FFFFFF"/>
            <w:vAlign w:val="center"/>
          </w:tcPr>
          <w:p w:rsidR="00226CF6" w:rsidRPr="006564D0" w:rsidRDefault="00226CF6" w:rsidP="00226CF6">
            <w:pPr>
              <w:pStyle w:val="142"/>
              <w:jc w:val="both"/>
            </w:pPr>
            <w:r>
              <w:rPr>
                <w:rFonts w:hint="eastAsia"/>
              </w:rPr>
              <w:t>該</w:t>
            </w:r>
            <w:r w:rsidRPr="006564D0">
              <w:t>計畫建築設計屬曲面帷幕造型，工序繁複且專業技術性高，進度緩慢，經通盤檢討後調整期程。</w:t>
            </w:r>
          </w:p>
        </w:tc>
        <w:tc>
          <w:tcPr>
            <w:tcW w:w="681" w:type="pct"/>
            <w:shd w:val="clear" w:color="000000" w:fill="FFFFFF"/>
            <w:vAlign w:val="center"/>
          </w:tcPr>
          <w:p w:rsidR="00226CF6" w:rsidRPr="006564D0" w:rsidRDefault="00226CF6" w:rsidP="00226CF6">
            <w:pPr>
              <w:pStyle w:val="142"/>
              <w:jc w:val="right"/>
            </w:pPr>
            <w:r w:rsidRPr="006564D0">
              <w:t>4,517,000</w:t>
            </w:r>
          </w:p>
        </w:tc>
        <w:tc>
          <w:tcPr>
            <w:tcW w:w="510" w:type="pct"/>
            <w:shd w:val="clear" w:color="000000" w:fill="FFFFFF"/>
            <w:vAlign w:val="center"/>
          </w:tcPr>
          <w:p w:rsidR="00226CF6" w:rsidRPr="006564D0" w:rsidRDefault="00226CF6" w:rsidP="00226CF6">
            <w:pPr>
              <w:pStyle w:val="142"/>
              <w:jc w:val="center"/>
            </w:pPr>
            <w:r w:rsidRPr="006564D0">
              <w:t>99/01</w:t>
            </w:r>
          </w:p>
        </w:tc>
        <w:tc>
          <w:tcPr>
            <w:tcW w:w="462" w:type="pct"/>
            <w:shd w:val="clear" w:color="000000" w:fill="FFFFFF"/>
            <w:vAlign w:val="center"/>
          </w:tcPr>
          <w:p w:rsidR="00226CF6" w:rsidRPr="006564D0" w:rsidRDefault="00226CF6" w:rsidP="00226CF6">
            <w:pPr>
              <w:pStyle w:val="142"/>
              <w:jc w:val="center"/>
            </w:pPr>
            <w:r w:rsidRPr="006564D0">
              <w:t>110/12</w:t>
            </w:r>
          </w:p>
        </w:tc>
        <w:tc>
          <w:tcPr>
            <w:tcW w:w="456" w:type="pct"/>
            <w:shd w:val="clear" w:color="000000" w:fill="FFFFFF"/>
            <w:vAlign w:val="center"/>
          </w:tcPr>
          <w:p w:rsidR="00226CF6" w:rsidRPr="006564D0" w:rsidRDefault="00226CF6" w:rsidP="00226CF6">
            <w:pPr>
              <w:pStyle w:val="142"/>
              <w:jc w:val="center"/>
            </w:pPr>
            <w:r w:rsidRPr="006564D0">
              <w:t>109/08</w:t>
            </w:r>
          </w:p>
        </w:tc>
      </w:tr>
    </w:tbl>
    <w:p w:rsidR="00C017DD" w:rsidRDefault="00226CF6" w:rsidP="00226CF6">
      <w:pPr>
        <w:pStyle w:val="142"/>
        <w:ind w:leftChars="5" w:left="939" w:hangingChars="380" w:hanging="925"/>
        <w:rPr>
          <w:lang w:eastAsia="zh-HK"/>
        </w:rPr>
      </w:pPr>
      <w:r>
        <w:rPr>
          <w:rFonts w:hint="eastAsia"/>
        </w:rPr>
        <w:t>資料來源：港務公司</w:t>
      </w:r>
      <w:r w:rsidRPr="002523D2">
        <w:rPr>
          <w:rFonts w:hint="eastAsia"/>
          <w:lang w:eastAsia="zh-HK"/>
        </w:rPr>
        <w:t>。</w:t>
      </w:r>
    </w:p>
    <w:p w:rsidR="00226CF6" w:rsidRPr="00226CF6" w:rsidRDefault="00226CF6" w:rsidP="00226CF6">
      <w:pPr>
        <w:pStyle w:val="14"/>
        <w:ind w:left="568" w:hanging="568"/>
        <w:rPr>
          <w:rFonts w:hint="eastAsia"/>
          <w:snapToGrid/>
          <w:color w:val="000000"/>
        </w:rPr>
      </w:pPr>
    </w:p>
    <w:p w:rsidR="00C017DD" w:rsidRPr="008A577E" w:rsidRDefault="00C017DD" w:rsidP="00DB32D0">
      <w:pPr>
        <w:pStyle w:val="14"/>
        <w:ind w:left="568" w:hanging="568"/>
        <w:rPr>
          <w:rFonts w:hint="eastAsia"/>
          <w:snapToGrid/>
        </w:rPr>
      </w:pPr>
      <w:bookmarkStart w:id="28" w:name="_Toc22634628"/>
      <w:bookmarkStart w:id="29" w:name="_Toc497385177"/>
      <w:bookmarkStart w:id="30" w:name="_Toc20817027"/>
      <w:bookmarkStart w:id="31" w:name="_Toc54774276"/>
      <w:bookmarkStart w:id="32" w:name="_Toc96008981"/>
      <w:r>
        <w:rPr>
          <w:rFonts w:hint="eastAsia"/>
          <w:snapToGrid/>
          <w:color w:val="000000"/>
        </w:rPr>
        <w:t>三</w:t>
      </w:r>
      <w:r w:rsidRPr="00302E17">
        <w:rPr>
          <w:rFonts w:hint="eastAsia"/>
          <w:snapToGrid/>
          <w:color w:val="000000"/>
        </w:rPr>
        <w:t>、</w:t>
      </w:r>
      <w:bookmarkEnd w:id="30"/>
      <w:r>
        <w:rPr>
          <w:rFonts w:hint="eastAsia"/>
          <w:snapToGrid/>
          <w:color w:val="000000"/>
        </w:rPr>
        <w:t>港勤公司購置船舶</w:t>
      </w:r>
      <w:r w:rsidR="00E11686">
        <w:rPr>
          <w:rFonts w:hint="eastAsia"/>
          <w:snapToGrid/>
          <w:color w:val="000000"/>
        </w:rPr>
        <w:t>預算執行未如預期</w:t>
      </w:r>
      <w:r>
        <w:rPr>
          <w:rFonts w:hint="eastAsia"/>
          <w:snapToGrid/>
          <w:color w:val="000000"/>
        </w:rPr>
        <w:t>，</w:t>
      </w:r>
      <w:bookmarkEnd w:id="31"/>
      <w:r w:rsidR="00E11686" w:rsidRPr="00E11686">
        <w:rPr>
          <w:rFonts w:hint="eastAsia"/>
          <w:snapToGrid/>
          <w:color w:val="000000"/>
        </w:rPr>
        <w:t>規劃評估似欠周妥，允宜檢討改善</w:t>
      </w:r>
      <w:bookmarkEnd w:id="32"/>
    </w:p>
    <w:bookmarkEnd w:id="29"/>
    <w:p w:rsidR="00C017DD" w:rsidRDefault="00C017DD" w:rsidP="00DB32D0">
      <w:pPr>
        <w:ind w:left="567" w:firstLine="567"/>
        <w:rPr>
          <w:rFonts w:hint="eastAsia"/>
          <w:color w:val="000000"/>
        </w:rPr>
      </w:pPr>
      <w:r w:rsidRPr="00DB32D0">
        <w:rPr>
          <w:rFonts w:hint="eastAsia"/>
          <w:color w:val="000000"/>
        </w:rPr>
        <w:t>臺灣港務港勤股份有限公司(以下簡稱港勤公司)</w:t>
      </w:r>
      <w:r>
        <w:rPr>
          <w:color w:val="000000"/>
        </w:rPr>
        <w:t>109</w:t>
      </w:r>
      <w:r>
        <w:rPr>
          <w:rFonts w:hint="eastAsia"/>
          <w:color w:val="000000"/>
        </w:rPr>
        <w:t>年度</w:t>
      </w:r>
      <w:r w:rsidRPr="00DB32D0">
        <w:rPr>
          <w:rFonts w:hint="eastAsia"/>
          <w:color w:val="000000"/>
        </w:rPr>
        <w:t>「一般建築及設備計畫」</w:t>
      </w:r>
      <w:r w:rsidR="00D22330">
        <w:rPr>
          <w:rFonts w:hint="eastAsia"/>
          <w:color w:val="000000"/>
        </w:rPr>
        <w:t>項下</w:t>
      </w:r>
      <w:r>
        <w:rPr>
          <w:rFonts w:hint="eastAsia"/>
          <w:color w:val="000000"/>
        </w:rPr>
        <w:t>交通及運輸設備</w:t>
      </w:r>
      <w:r w:rsidR="00D22330">
        <w:rPr>
          <w:rFonts w:hint="eastAsia"/>
          <w:color w:val="000000"/>
        </w:rPr>
        <w:t>編列購置船舶10</w:t>
      </w:r>
      <w:r w:rsidRPr="00302E17">
        <w:rPr>
          <w:rFonts w:hint="eastAsia"/>
          <w:color w:val="000000"/>
        </w:rPr>
        <w:t>億</w:t>
      </w:r>
      <w:r w:rsidR="00D22330">
        <w:rPr>
          <w:rFonts w:hint="eastAsia"/>
          <w:color w:val="000000"/>
        </w:rPr>
        <w:t>9</w:t>
      </w:r>
      <w:r>
        <w:rPr>
          <w:rFonts w:hint="eastAsia"/>
          <w:color w:val="000000"/>
        </w:rPr>
        <w:t>,</w:t>
      </w:r>
      <w:r w:rsidR="00D22330">
        <w:rPr>
          <w:rFonts w:hint="eastAsia"/>
          <w:color w:val="000000"/>
        </w:rPr>
        <w:t>200</w:t>
      </w:r>
      <w:r w:rsidRPr="00302E17">
        <w:rPr>
          <w:rFonts w:hint="eastAsia"/>
          <w:color w:val="000000"/>
        </w:rPr>
        <w:t>萬元，</w:t>
      </w:r>
      <w:r w:rsidR="00D22330">
        <w:rPr>
          <w:rFonts w:hint="eastAsia"/>
          <w:color w:val="000000"/>
        </w:rPr>
        <w:t>加計以前年度</w:t>
      </w:r>
      <w:r w:rsidR="00D22330" w:rsidRPr="00D22330">
        <w:rPr>
          <w:rFonts w:hint="eastAsia"/>
          <w:color w:val="000000"/>
        </w:rPr>
        <w:t>保留轉入數</w:t>
      </w:r>
      <w:r w:rsidR="00D22330">
        <w:rPr>
          <w:rFonts w:hint="eastAsia"/>
          <w:color w:val="000000"/>
        </w:rPr>
        <w:t>7億2,996萬6千元及減去調整數1,857萬1千元後，可支用預算數為18億339萬5千元，決算數為3億6,008萬6千元，預算執行率為</w:t>
      </w:r>
      <w:r w:rsidR="00637F68">
        <w:rPr>
          <w:rFonts w:hint="eastAsia"/>
          <w:color w:val="000000"/>
        </w:rPr>
        <w:t>19.97</w:t>
      </w:r>
      <w:r w:rsidR="00D22330">
        <w:rPr>
          <w:rFonts w:hint="eastAsia"/>
          <w:color w:val="000000"/>
        </w:rPr>
        <w:t>%。經查</w:t>
      </w:r>
      <w:r w:rsidRPr="00DB32D0">
        <w:rPr>
          <w:rFonts w:hint="eastAsia"/>
          <w:color w:val="000000"/>
        </w:rPr>
        <w:t>：</w:t>
      </w:r>
      <w:r>
        <w:rPr>
          <w:rFonts w:hint="eastAsia"/>
          <w:color w:val="000000"/>
        </w:rPr>
        <w:t xml:space="preserve"> </w:t>
      </w:r>
    </w:p>
    <w:p w:rsidR="00C017DD" w:rsidRPr="00302E17" w:rsidRDefault="00C017DD" w:rsidP="00DB32D0">
      <w:pPr>
        <w:pStyle w:val="af9"/>
        <w:ind w:left="851" w:hanging="284"/>
        <w:rPr>
          <w:rFonts w:hint="eastAsia"/>
          <w:b/>
          <w:color w:val="000000"/>
        </w:rPr>
      </w:pPr>
      <w:r w:rsidRPr="00302E17">
        <w:rPr>
          <w:rFonts w:hint="eastAsia"/>
          <w:b/>
          <w:color w:val="000000"/>
        </w:rPr>
        <w:t>(一)</w:t>
      </w:r>
      <w:r>
        <w:rPr>
          <w:rFonts w:hint="eastAsia"/>
          <w:b/>
          <w:color w:val="000000"/>
        </w:rPr>
        <w:t>港勤公司拖船船隊</w:t>
      </w:r>
      <w:r w:rsidRPr="00217E44">
        <w:rPr>
          <w:rFonts w:hint="eastAsia"/>
          <w:b/>
          <w:color w:val="000000"/>
        </w:rPr>
        <w:t>汰舊</w:t>
      </w:r>
      <w:r>
        <w:rPr>
          <w:rFonts w:hint="eastAsia"/>
          <w:b/>
          <w:color w:val="000000"/>
        </w:rPr>
        <w:t>改</w:t>
      </w:r>
      <w:r w:rsidRPr="00217E44">
        <w:rPr>
          <w:rFonts w:hint="eastAsia"/>
          <w:b/>
          <w:color w:val="000000"/>
        </w:rPr>
        <w:t>採前</w:t>
      </w:r>
      <w:r w:rsidRPr="00217E44">
        <w:rPr>
          <w:b/>
          <w:color w:val="000000"/>
        </w:rPr>
        <w:t>(期)慢後(期)快策略滾動式檢討，並輔以維修</w:t>
      </w:r>
      <w:r>
        <w:rPr>
          <w:rFonts w:hint="eastAsia"/>
          <w:b/>
          <w:color w:val="000000"/>
        </w:rPr>
        <w:t>，</w:t>
      </w:r>
      <w:r w:rsidRPr="00217E44">
        <w:rPr>
          <w:rFonts w:hint="eastAsia"/>
          <w:b/>
          <w:color w:val="000000"/>
        </w:rPr>
        <w:t>俟相關多角化業務發展成熟穩定後，再逐批汰換</w:t>
      </w:r>
    </w:p>
    <w:p w:rsidR="00C017DD" w:rsidRDefault="00C017DD" w:rsidP="00DB32D0">
      <w:pPr>
        <w:pStyle w:val="2"/>
        <w:ind w:left="850" w:firstLine="567"/>
        <w:rPr>
          <w:rFonts w:hint="eastAsia"/>
          <w:color w:val="000000"/>
        </w:rPr>
      </w:pPr>
      <w:r w:rsidRPr="00217E44">
        <w:rPr>
          <w:rFonts w:hint="eastAsia"/>
          <w:color w:val="000000"/>
        </w:rPr>
        <w:t>港勤公司於</w:t>
      </w:r>
      <w:r w:rsidRPr="00217E44">
        <w:rPr>
          <w:color w:val="000000"/>
        </w:rPr>
        <w:t>103年10月成立後承接港務公司自營拖船業務區域，主要</w:t>
      </w:r>
      <w:r>
        <w:rPr>
          <w:rFonts w:hint="eastAsia"/>
          <w:color w:val="000000"/>
        </w:rPr>
        <w:t>營運項目為</w:t>
      </w:r>
      <w:r w:rsidRPr="00E30058">
        <w:rPr>
          <w:rFonts w:hint="eastAsia"/>
          <w:color w:val="000000"/>
        </w:rPr>
        <w:t>曳船業務</w:t>
      </w:r>
      <w:r w:rsidRPr="00217E44">
        <w:rPr>
          <w:color w:val="000000"/>
        </w:rPr>
        <w:t>。</w:t>
      </w:r>
      <w:r>
        <w:rPr>
          <w:rFonts w:hint="eastAsia"/>
          <w:color w:val="000000"/>
        </w:rPr>
        <w:t>據該公司表示，</w:t>
      </w:r>
      <w:r w:rsidRPr="00217E44">
        <w:rPr>
          <w:rFonts w:hint="eastAsia"/>
          <w:color w:val="000000"/>
        </w:rPr>
        <w:t>因多角化業務發展需求須購置其他類型船舶</w:t>
      </w:r>
      <w:r w:rsidRPr="00DB0833">
        <w:t>(如人員運維船(CTV)、大型駁船等</w:t>
      </w:r>
      <w:r>
        <w:rPr>
          <w:rStyle w:val="aff0"/>
        </w:rPr>
        <w:footnoteReference w:id="4"/>
      </w:r>
      <w:r w:rsidRPr="00DB0833">
        <w:t>)</w:t>
      </w:r>
      <w:r w:rsidRPr="00217E44">
        <w:rPr>
          <w:color w:val="000000"/>
        </w:rPr>
        <w:t>，原拖船汰舊速度改採前(期)慢後(期)快策略滾動式檢討，並輔以維修</w:t>
      </w:r>
      <w:r>
        <w:rPr>
          <w:rFonts w:hint="eastAsia"/>
          <w:color w:val="000000"/>
        </w:rPr>
        <w:t>之</w:t>
      </w:r>
      <w:r w:rsidRPr="00217E44">
        <w:rPr>
          <w:color w:val="000000"/>
        </w:rPr>
        <w:t>落實，</w:t>
      </w:r>
      <w:r w:rsidRPr="00DB0833">
        <w:t>局部小</w:t>
      </w:r>
      <w:r w:rsidR="00534CB9">
        <w:rPr>
          <w:rFonts w:hint="eastAsia"/>
        </w:rPr>
        <w:t>幅</w:t>
      </w:r>
      <w:r w:rsidRPr="00DB0833">
        <w:t>度改裝</w:t>
      </w:r>
      <w:r>
        <w:rPr>
          <w:rFonts w:hint="eastAsia"/>
        </w:rPr>
        <w:t>使</w:t>
      </w:r>
      <w:r w:rsidRPr="00DB0833">
        <w:t>高齡拖船在業務空檔亦能執行沿海低強度風電海</w:t>
      </w:r>
      <w:r w:rsidRPr="00DB0833">
        <w:rPr>
          <w:rFonts w:hint="eastAsia"/>
        </w:rPr>
        <w:t>事</w:t>
      </w:r>
      <w:r w:rsidRPr="00DB0833">
        <w:t>工</w:t>
      </w:r>
      <w:r w:rsidRPr="00DB0833">
        <w:rPr>
          <w:rFonts w:hint="eastAsia"/>
        </w:rPr>
        <w:t>程</w:t>
      </w:r>
      <w:r w:rsidRPr="00DB0833">
        <w:t>業務等，</w:t>
      </w:r>
      <w:r w:rsidRPr="00217E44">
        <w:rPr>
          <w:color w:val="000000"/>
        </w:rPr>
        <w:t>俟相關多角化業務發展成熟穩定增加營收後，再逐批汰換</w:t>
      </w:r>
      <w:r>
        <w:rPr>
          <w:rFonts w:hint="eastAsia"/>
          <w:color w:val="000000"/>
        </w:rPr>
        <w:t>以</w:t>
      </w:r>
      <w:r w:rsidRPr="00217E44">
        <w:rPr>
          <w:color w:val="000000"/>
        </w:rPr>
        <w:t>加快拖船汰舊速度。</w:t>
      </w:r>
    </w:p>
    <w:p w:rsidR="00C017DD" w:rsidRPr="00CB228E" w:rsidRDefault="00C017DD" w:rsidP="00DB32D0">
      <w:pPr>
        <w:pStyle w:val="af9"/>
        <w:ind w:left="851" w:hanging="284"/>
        <w:rPr>
          <w:rFonts w:hint="eastAsia"/>
          <w:b/>
        </w:rPr>
      </w:pPr>
      <w:r w:rsidRPr="00CB228E">
        <w:rPr>
          <w:rFonts w:hint="eastAsia"/>
          <w:b/>
        </w:rPr>
        <w:t>(二)</w:t>
      </w:r>
      <w:r>
        <w:rPr>
          <w:rFonts w:hint="eastAsia"/>
          <w:b/>
        </w:rPr>
        <w:t>109年度</w:t>
      </w:r>
      <w:r w:rsidR="00A33E8B">
        <w:rPr>
          <w:rFonts w:hint="eastAsia"/>
          <w:b/>
        </w:rPr>
        <w:t>購置船舶預算執行未如預期</w:t>
      </w:r>
    </w:p>
    <w:p w:rsidR="00C017DD" w:rsidRDefault="00AC0334" w:rsidP="00637F68">
      <w:pPr>
        <w:pStyle w:val="2"/>
        <w:ind w:left="850" w:firstLine="567"/>
      </w:pPr>
      <w:r w:rsidRPr="00AC0334">
        <w:rPr>
          <w:rFonts w:hint="eastAsia"/>
        </w:rPr>
        <w:t>港勤公司109年度</w:t>
      </w:r>
      <w:r w:rsidR="00637F68">
        <w:rPr>
          <w:rFonts w:hint="eastAsia"/>
        </w:rPr>
        <w:t>執行之</w:t>
      </w:r>
      <w:r w:rsidRPr="00AC0334">
        <w:rPr>
          <w:rFonts w:hint="eastAsia"/>
        </w:rPr>
        <w:t>船舶</w:t>
      </w:r>
      <w:r w:rsidR="00637F68">
        <w:rPr>
          <w:rFonts w:hint="eastAsia"/>
        </w:rPr>
        <w:t>購置案共6案，</w:t>
      </w:r>
      <w:r w:rsidR="003A5955">
        <w:rPr>
          <w:rFonts w:hint="eastAsia"/>
        </w:rPr>
        <w:t>整體預算執行率為19.97%，</w:t>
      </w:r>
      <w:r w:rsidR="00637F68">
        <w:rPr>
          <w:rFonts w:hint="eastAsia"/>
        </w:rPr>
        <w:t>其中期程108至110年度之</w:t>
      </w:r>
      <w:r w:rsidR="00637F68" w:rsidRPr="00637F68">
        <w:rPr>
          <w:rFonts w:hint="eastAsia"/>
        </w:rPr>
        <w:t>運維船</w:t>
      </w:r>
      <w:r w:rsidR="00637F68">
        <w:rPr>
          <w:rFonts w:hint="eastAsia"/>
        </w:rPr>
        <w:t>(編號3)預算執行率為79.65%，於110年10月完工；</w:t>
      </w:r>
      <w:r w:rsidR="00637F68" w:rsidRPr="00637F68">
        <w:rPr>
          <w:rFonts w:hint="eastAsia"/>
        </w:rPr>
        <w:t>多功能平台船(140M大型駁船)</w:t>
      </w:r>
      <w:r w:rsidR="00637F68">
        <w:rPr>
          <w:rFonts w:hint="eastAsia"/>
        </w:rPr>
        <w:t>預算執行率為74.19%，業於109年8月驗收完竣；其餘4案</w:t>
      </w:r>
      <w:r w:rsidR="003A5955">
        <w:rPr>
          <w:rFonts w:hint="eastAsia"/>
        </w:rPr>
        <w:t>則</w:t>
      </w:r>
      <w:r w:rsidR="00637F68">
        <w:rPr>
          <w:rFonts w:hint="eastAsia"/>
        </w:rPr>
        <w:t>未執行</w:t>
      </w:r>
      <w:r w:rsidR="000345DB">
        <w:rPr>
          <w:rFonts w:hint="eastAsia"/>
        </w:rPr>
        <w:t>(詳表1)</w:t>
      </w:r>
      <w:r w:rsidR="00637F68">
        <w:rPr>
          <w:rFonts w:hint="eastAsia"/>
        </w:rPr>
        <w:t>。</w:t>
      </w:r>
    </w:p>
    <w:p w:rsidR="00637F68" w:rsidRPr="00CA7A77" w:rsidRDefault="000345DB" w:rsidP="001A05BC">
      <w:pPr>
        <w:pStyle w:val="2"/>
        <w:ind w:left="850" w:firstLine="567"/>
        <w:rPr>
          <w:rFonts w:hint="eastAsia"/>
        </w:rPr>
      </w:pPr>
      <w:r>
        <w:rPr>
          <w:rFonts w:hint="eastAsia"/>
        </w:rPr>
        <w:t>據港勤公司說明，</w:t>
      </w:r>
      <w:r w:rsidRPr="000345DB">
        <w:rPr>
          <w:rFonts w:hint="eastAsia"/>
        </w:rPr>
        <w:t>10000~13000匹馬力拖船</w:t>
      </w:r>
      <w:r>
        <w:rPr>
          <w:rFonts w:hint="eastAsia"/>
        </w:rPr>
        <w:t>因</w:t>
      </w:r>
      <w:r w:rsidRPr="000345DB">
        <w:rPr>
          <w:rFonts w:hint="eastAsia"/>
        </w:rPr>
        <w:t>造價昂貴，且考量原規劃部分任務可由其他船舶替代，於109</w:t>
      </w:r>
      <w:r>
        <w:rPr>
          <w:rFonts w:hint="eastAsia"/>
        </w:rPr>
        <w:t>年</w:t>
      </w:r>
      <w:r w:rsidRPr="000345DB">
        <w:rPr>
          <w:rFonts w:hint="eastAsia"/>
        </w:rPr>
        <w:t>5</w:t>
      </w:r>
      <w:r>
        <w:rPr>
          <w:rFonts w:hint="eastAsia"/>
        </w:rPr>
        <w:t>月</w:t>
      </w:r>
      <w:r w:rsidRPr="000345DB">
        <w:rPr>
          <w:rFonts w:hint="eastAsia"/>
        </w:rPr>
        <w:t>26</w:t>
      </w:r>
      <w:r>
        <w:rPr>
          <w:rFonts w:hint="eastAsia"/>
        </w:rPr>
        <w:t>日</w:t>
      </w:r>
      <w:r w:rsidRPr="000345DB">
        <w:rPr>
          <w:rFonts w:hint="eastAsia"/>
        </w:rPr>
        <w:t>經董事會同意停支</w:t>
      </w:r>
      <w:r>
        <w:rPr>
          <w:rFonts w:hint="eastAsia"/>
        </w:rPr>
        <w:t>；</w:t>
      </w:r>
      <w:r w:rsidR="003A5955" w:rsidRPr="003A5955">
        <w:rPr>
          <w:rFonts w:hint="eastAsia"/>
        </w:rPr>
        <w:t>期程10</w:t>
      </w:r>
      <w:r w:rsidR="003A5955">
        <w:rPr>
          <w:rFonts w:hint="eastAsia"/>
        </w:rPr>
        <w:t>9</w:t>
      </w:r>
      <w:r w:rsidR="003A5955" w:rsidRPr="003A5955">
        <w:rPr>
          <w:rFonts w:hint="eastAsia"/>
        </w:rPr>
        <w:t>至110年度之運維船(編號</w:t>
      </w:r>
      <w:r w:rsidR="003A5955">
        <w:rPr>
          <w:rFonts w:hint="eastAsia"/>
        </w:rPr>
        <w:t>2</w:t>
      </w:r>
      <w:r w:rsidR="003A5955" w:rsidRPr="003A5955">
        <w:rPr>
          <w:rFonts w:hint="eastAsia"/>
        </w:rPr>
        <w:t>)</w:t>
      </w:r>
      <w:r w:rsidR="003A5955">
        <w:rPr>
          <w:rFonts w:hint="eastAsia"/>
        </w:rPr>
        <w:t>因</w:t>
      </w:r>
      <w:r w:rsidR="003A5955" w:rsidRPr="003A5955">
        <w:rPr>
          <w:rFonts w:hint="eastAsia"/>
        </w:rPr>
        <w:t>考量國內運維船舶數量足以供給市</w:t>
      </w:r>
      <w:r w:rsidR="003A5955">
        <w:rPr>
          <w:rFonts w:hint="eastAsia"/>
        </w:rPr>
        <w:t>場</w:t>
      </w:r>
      <w:r w:rsidR="003A5955" w:rsidRPr="003A5955">
        <w:rPr>
          <w:rFonts w:hint="eastAsia"/>
        </w:rPr>
        <w:t>需求，於109</w:t>
      </w:r>
      <w:r w:rsidR="003A5955">
        <w:rPr>
          <w:rFonts w:hint="eastAsia"/>
        </w:rPr>
        <w:t>年</w:t>
      </w:r>
      <w:r w:rsidR="003A5955" w:rsidRPr="003A5955">
        <w:rPr>
          <w:rFonts w:hint="eastAsia"/>
        </w:rPr>
        <w:t>8</w:t>
      </w:r>
      <w:r w:rsidR="003A5955">
        <w:rPr>
          <w:rFonts w:hint="eastAsia"/>
        </w:rPr>
        <w:t>月</w:t>
      </w:r>
      <w:r w:rsidR="003A5955" w:rsidRPr="003A5955">
        <w:rPr>
          <w:rFonts w:hint="eastAsia"/>
        </w:rPr>
        <w:t>21</w:t>
      </w:r>
      <w:r w:rsidR="003A5955">
        <w:rPr>
          <w:rFonts w:hint="eastAsia"/>
        </w:rPr>
        <w:t>日</w:t>
      </w:r>
      <w:r w:rsidR="003A5955" w:rsidRPr="003A5955">
        <w:rPr>
          <w:rFonts w:hint="eastAsia"/>
        </w:rPr>
        <w:t>經董事會同意停支</w:t>
      </w:r>
      <w:r w:rsidR="003A5955">
        <w:rPr>
          <w:rFonts w:hint="eastAsia"/>
        </w:rPr>
        <w:t>；至</w:t>
      </w:r>
      <w:r w:rsidR="003A5955" w:rsidRPr="003A5955">
        <w:rPr>
          <w:rFonts w:hint="eastAsia"/>
        </w:rPr>
        <w:t>3400~5200匹馬力拖船</w:t>
      </w:r>
      <w:r w:rsidR="00E11686">
        <w:rPr>
          <w:rFonts w:hint="eastAsia"/>
        </w:rPr>
        <w:t>因多次流標</w:t>
      </w:r>
      <w:r w:rsidR="001A05BC">
        <w:rPr>
          <w:rFonts w:hint="eastAsia"/>
        </w:rPr>
        <w:t>爰</w:t>
      </w:r>
      <w:r w:rsidR="003A5955">
        <w:rPr>
          <w:rFonts w:hint="eastAsia"/>
        </w:rPr>
        <w:t>保留部分預算至110年度執行，</w:t>
      </w:r>
      <w:r w:rsidR="003A5955" w:rsidRPr="003A5955">
        <w:rPr>
          <w:rFonts w:hint="eastAsia"/>
        </w:rPr>
        <w:t>3200~5200匹馬力拖船</w:t>
      </w:r>
      <w:r w:rsidR="003A5955">
        <w:rPr>
          <w:rFonts w:hint="eastAsia"/>
        </w:rPr>
        <w:t>期程為109至111年度，惟111年度未續編預算。</w:t>
      </w:r>
    </w:p>
    <w:p w:rsidR="000635AD" w:rsidRDefault="00C017DD" w:rsidP="00DB32D0">
      <w:pPr>
        <w:ind w:leftChars="1" w:left="1025" w:hangingChars="360" w:hanging="1022"/>
        <w:jc w:val="left"/>
        <w:rPr>
          <w:b/>
          <w:color w:val="000000"/>
        </w:rPr>
      </w:pPr>
      <w:r w:rsidRPr="00912E34">
        <w:rPr>
          <w:rFonts w:hint="eastAsia"/>
          <w:b/>
          <w:color w:val="000000"/>
        </w:rPr>
        <w:t>表</w:t>
      </w:r>
      <w:r>
        <w:rPr>
          <w:rFonts w:hint="eastAsia"/>
          <w:b/>
          <w:color w:val="000000"/>
        </w:rPr>
        <w:t>1  港勤公司</w:t>
      </w:r>
      <w:r w:rsidR="000635AD">
        <w:rPr>
          <w:rFonts w:hint="eastAsia"/>
          <w:b/>
          <w:color w:val="000000"/>
        </w:rPr>
        <w:t>109年度</w:t>
      </w:r>
      <w:r>
        <w:rPr>
          <w:rFonts w:hint="eastAsia"/>
          <w:b/>
          <w:color w:val="000000"/>
        </w:rPr>
        <w:t>購置船</w:t>
      </w:r>
      <w:r w:rsidR="000635AD">
        <w:rPr>
          <w:rFonts w:hint="eastAsia"/>
          <w:b/>
          <w:color w:val="000000"/>
        </w:rPr>
        <w:t>舶</w:t>
      </w:r>
      <w:r>
        <w:rPr>
          <w:rFonts w:hint="eastAsia"/>
          <w:b/>
          <w:color w:val="000000"/>
        </w:rPr>
        <w:t xml:space="preserve">經費編列及執行情形 </w:t>
      </w:r>
    </w:p>
    <w:p w:rsidR="00C017DD" w:rsidRPr="00F80EA2" w:rsidRDefault="00C017DD" w:rsidP="000635AD">
      <w:pPr>
        <w:pStyle w:val="142"/>
        <w:jc w:val="right"/>
        <w:rPr>
          <w:rFonts w:hint="eastAsia"/>
          <w:color w:val="000000"/>
        </w:rPr>
      </w:pPr>
      <w:r w:rsidRPr="006A1E69">
        <w:rPr>
          <w:rFonts w:hint="eastAsia"/>
        </w:rPr>
        <w:t>單位：新臺幣千元</w:t>
      </w:r>
    </w:p>
    <w:tbl>
      <w:tblPr>
        <w:tblW w:w="855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64"/>
        <w:gridCol w:w="2604"/>
        <w:gridCol w:w="910"/>
        <w:gridCol w:w="1078"/>
        <w:gridCol w:w="1366"/>
        <w:gridCol w:w="1223"/>
        <w:gridCol w:w="1008"/>
      </w:tblGrid>
      <w:tr w:rsidR="004814C3" w:rsidRPr="007665AB" w:rsidTr="005B5C4A">
        <w:trPr>
          <w:trHeight w:val="340"/>
          <w:tblHeader/>
        </w:trPr>
        <w:tc>
          <w:tcPr>
            <w:tcW w:w="364" w:type="dxa"/>
            <w:vAlign w:val="center"/>
          </w:tcPr>
          <w:p w:rsidR="004814C3" w:rsidRPr="007665AB" w:rsidRDefault="004814C3" w:rsidP="004814C3">
            <w:pPr>
              <w:pStyle w:val="142"/>
              <w:jc w:val="center"/>
              <w:rPr>
                <w:rFonts w:hint="eastAsia"/>
                <w:snapToGrid/>
              </w:rPr>
            </w:pPr>
            <w:r>
              <w:rPr>
                <w:rFonts w:hint="eastAsia"/>
                <w:snapToGrid/>
              </w:rPr>
              <w:t>編號</w:t>
            </w:r>
          </w:p>
        </w:tc>
        <w:tc>
          <w:tcPr>
            <w:tcW w:w="2604" w:type="dxa"/>
            <w:shd w:val="clear" w:color="auto" w:fill="auto"/>
            <w:noWrap/>
            <w:vAlign w:val="center"/>
            <w:hideMark/>
          </w:tcPr>
          <w:p w:rsidR="004814C3" w:rsidRPr="007665AB" w:rsidRDefault="004814C3" w:rsidP="004814C3">
            <w:pPr>
              <w:pStyle w:val="142"/>
              <w:jc w:val="center"/>
              <w:rPr>
                <w:snapToGrid/>
              </w:rPr>
            </w:pPr>
            <w:r w:rsidRPr="007665AB">
              <w:rPr>
                <w:rFonts w:hint="eastAsia"/>
                <w:snapToGrid/>
              </w:rPr>
              <w:t>項目</w:t>
            </w:r>
          </w:p>
        </w:tc>
        <w:tc>
          <w:tcPr>
            <w:tcW w:w="910" w:type="dxa"/>
            <w:shd w:val="clear" w:color="auto" w:fill="auto"/>
            <w:noWrap/>
            <w:vAlign w:val="center"/>
            <w:hideMark/>
          </w:tcPr>
          <w:p w:rsidR="004814C3" w:rsidRDefault="004814C3" w:rsidP="004814C3">
            <w:pPr>
              <w:pStyle w:val="142"/>
              <w:jc w:val="center"/>
              <w:rPr>
                <w:snapToGrid/>
              </w:rPr>
            </w:pPr>
            <w:r w:rsidRPr="007665AB">
              <w:rPr>
                <w:rFonts w:hint="eastAsia"/>
                <w:snapToGrid/>
              </w:rPr>
              <w:t>期程</w:t>
            </w:r>
          </w:p>
          <w:p w:rsidR="004814C3" w:rsidRPr="007665AB" w:rsidRDefault="004814C3" w:rsidP="004814C3">
            <w:pPr>
              <w:pStyle w:val="142"/>
              <w:jc w:val="center"/>
              <w:rPr>
                <w:rFonts w:hint="eastAsia"/>
                <w:snapToGrid/>
              </w:rPr>
            </w:pPr>
            <w:r>
              <w:rPr>
                <w:rFonts w:hint="eastAsia"/>
                <w:snapToGrid/>
              </w:rPr>
              <w:t>(年度)</w:t>
            </w:r>
          </w:p>
        </w:tc>
        <w:tc>
          <w:tcPr>
            <w:tcW w:w="1078" w:type="dxa"/>
            <w:shd w:val="clear" w:color="auto" w:fill="auto"/>
            <w:noWrap/>
            <w:vAlign w:val="center"/>
            <w:hideMark/>
          </w:tcPr>
          <w:p w:rsidR="004814C3" w:rsidRDefault="004814C3" w:rsidP="004814C3">
            <w:pPr>
              <w:pStyle w:val="142"/>
              <w:jc w:val="center"/>
              <w:rPr>
                <w:snapToGrid/>
              </w:rPr>
            </w:pPr>
            <w:r w:rsidRPr="007665AB">
              <w:rPr>
                <w:rFonts w:hint="eastAsia"/>
                <w:snapToGrid/>
              </w:rPr>
              <w:t>投資</w:t>
            </w:r>
          </w:p>
          <w:p w:rsidR="004814C3" w:rsidRPr="007665AB" w:rsidRDefault="004814C3" w:rsidP="004814C3">
            <w:pPr>
              <w:pStyle w:val="142"/>
              <w:jc w:val="center"/>
              <w:rPr>
                <w:rFonts w:hint="eastAsia"/>
                <w:snapToGrid/>
              </w:rPr>
            </w:pPr>
            <w:r w:rsidRPr="007665AB">
              <w:rPr>
                <w:rFonts w:hint="eastAsia"/>
                <w:snapToGrid/>
              </w:rPr>
              <w:t>總額</w:t>
            </w:r>
          </w:p>
        </w:tc>
        <w:tc>
          <w:tcPr>
            <w:tcW w:w="1366" w:type="dxa"/>
            <w:shd w:val="clear" w:color="auto" w:fill="auto"/>
            <w:noWrap/>
            <w:vAlign w:val="center"/>
            <w:hideMark/>
          </w:tcPr>
          <w:p w:rsidR="004814C3" w:rsidRPr="007665AB" w:rsidRDefault="004814C3" w:rsidP="004814C3">
            <w:pPr>
              <w:pStyle w:val="142"/>
              <w:jc w:val="center"/>
              <w:rPr>
                <w:rFonts w:hint="eastAsia"/>
                <w:snapToGrid/>
              </w:rPr>
            </w:pPr>
            <w:r w:rsidRPr="007665AB">
              <w:rPr>
                <w:rFonts w:hint="eastAsia"/>
                <w:snapToGrid/>
              </w:rPr>
              <w:t>109年度可支用預算數</w:t>
            </w:r>
          </w:p>
        </w:tc>
        <w:tc>
          <w:tcPr>
            <w:tcW w:w="1223" w:type="dxa"/>
            <w:shd w:val="clear" w:color="auto" w:fill="auto"/>
            <w:noWrap/>
            <w:vAlign w:val="center"/>
            <w:hideMark/>
          </w:tcPr>
          <w:p w:rsidR="004814C3" w:rsidRDefault="004814C3" w:rsidP="004814C3">
            <w:pPr>
              <w:pStyle w:val="142"/>
              <w:jc w:val="center"/>
              <w:rPr>
                <w:snapToGrid/>
              </w:rPr>
            </w:pPr>
            <w:r w:rsidRPr="007665AB">
              <w:rPr>
                <w:rFonts w:hint="eastAsia"/>
                <w:snapToGrid/>
              </w:rPr>
              <w:t>109年度</w:t>
            </w:r>
          </w:p>
          <w:p w:rsidR="004814C3" w:rsidRPr="007665AB" w:rsidRDefault="004814C3" w:rsidP="004814C3">
            <w:pPr>
              <w:pStyle w:val="142"/>
              <w:jc w:val="center"/>
              <w:rPr>
                <w:rFonts w:hint="eastAsia"/>
                <w:snapToGrid/>
              </w:rPr>
            </w:pPr>
            <w:r w:rsidRPr="007665AB">
              <w:rPr>
                <w:rFonts w:hint="eastAsia"/>
                <w:snapToGrid/>
              </w:rPr>
              <w:t>決算數</w:t>
            </w:r>
          </w:p>
        </w:tc>
        <w:tc>
          <w:tcPr>
            <w:tcW w:w="1008" w:type="dxa"/>
            <w:shd w:val="clear" w:color="auto" w:fill="auto"/>
            <w:noWrap/>
            <w:vAlign w:val="center"/>
            <w:hideMark/>
          </w:tcPr>
          <w:p w:rsidR="00241493" w:rsidRDefault="00241493" w:rsidP="004814C3">
            <w:pPr>
              <w:pStyle w:val="142"/>
              <w:jc w:val="center"/>
              <w:rPr>
                <w:snapToGrid/>
              </w:rPr>
            </w:pPr>
            <w:r>
              <w:rPr>
                <w:rFonts w:hint="eastAsia"/>
                <w:snapToGrid/>
              </w:rPr>
              <w:t>預算</w:t>
            </w:r>
          </w:p>
          <w:p w:rsidR="004814C3" w:rsidRPr="007665AB" w:rsidRDefault="004814C3" w:rsidP="004814C3">
            <w:pPr>
              <w:pStyle w:val="142"/>
              <w:jc w:val="center"/>
              <w:rPr>
                <w:rFonts w:hint="eastAsia"/>
                <w:snapToGrid/>
              </w:rPr>
            </w:pPr>
            <w:r w:rsidRPr="007665AB">
              <w:rPr>
                <w:rFonts w:hint="eastAsia"/>
                <w:snapToGrid/>
              </w:rPr>
              <w:t>執行率</w:t>
            </w:r>
          </w:p>
        </w:tc>
      </w:tr>
      <w:tr w:rsidR="004814C3" w:rsidRPr="007665AB" w:rsidTr="004814C3">
        <w:trPr>
          <w:trHeight w:val="340"/>
        </w:trPr>
        <w:tc>
          <w:tcPr>
            <w:tcW w:w="364" w:type="dxa"/>
            <w:vAlign w:val="center"/>
          </w:tcPr>
          <w:p w:rsidR="004814C3" w:rsidRPr="007665AB" w:rsidRDefault="004814C3" w:rsidP="004814C3">
            <w:pPr>
              <w:pStyle w:val="142"/>
              <w:jc w:val="center"/>
              <w:rPr>
                <w:rFonts w:hint="eastAsia"/>
                <w:snapToGrid/>
              </w:rPr>
            </w:pPr>
            <w:r>
              <w:rPr>
                <w:rFonts w:hint="eastAsia"/>
                <w:snapToGrid/>
              </w:rPr>
              <w:t>1</w:t>
            </w:r>
          </w:p>
        </w:tc>
        <w:tc>
          <w:tcPr>
            <w:tcW w:w="2604" w:type="dxa"/>
            <w:shd w:val="clear" w:color="auto" w:fill="auto"/>
            <w:noWrap/>
            <w:vAlign w:val="center"/>
            <w:hideMark/>
          </w:tcPr>
          <w:p w:rsidR="004814C3" w:rsidRPr="007665AB" w:rsidRDefault="004814C3" w:rsidP="004814C3">
            <w:pPr>
              <w:pStyle w:val="142"/>
              <w:jc w:val="both"/>
              <w:rPr>
                <w:snapToGrid/>
              </w:rPr>
            </w:pPr>
            <w:r w:rsidRPr="007665AB">
              <w:rPr>
                <w:rFonts w:hint="eastAsia"/>
                <w:snapToGrid/>
              </w:rPr>
              <w:t>10000~13000匹馬力拖船</w:t>
            </w:r>
          </w:p>
        </w:tc>
        <w:tc>
          <w:tcPr>
            <w:tcW w:w="910" w:type="dxa"/>
            <w:shd w:val="clear" w:color="auto" w:fill="auto"/>
            <w:noWrap/>
            <w:vAlign w:val="center"/>
            <w:hideMark/>
          </w:tcPr>
          <w:p w:rsidR="004814C3" w:rsidRPr="007665AB" w:rsidRDefault="004814C3" w:rsidP="004814C3">
            <w:pPr>
              <w:pStyle w:val="142"/>
              <w:jc w:val="both"/>
              <w:rPr>
                <w:rFonts w:hint="eastAsia"/>
                <w:snapToGrid/>
              </w:rPr>
            </w:pPr>
            <w:r w:rsidRPr="007665AB">
              <w:rPr>
                <w:rFonts w:hint="eastAsia"/>
                <w:snapToGrid/>
              </w:rPr>
              <w:t>108-110</w:t>
            </w:r>
          </w:p>
        </w:tc>
        <w:tc>
          <w:tcPr>
            <w:tcW w:w="1078" w:type="dxa"/>
            <w:shd w:val="clear" w:color="auto" w:fill="auto"/>
            <w:noWrap/>
            <w:vAlign w:val="center"/>
            <w:hideMark/>
          </w:tcPr>
          <w:p w:rsidR="004814C3" w:rsidRPr="007665AB" w:rsidRDefault="004814C3" w:rsidP="004814C3">
            <w:pPr>
              <w:pStyle w:val="142"/>
              <w:jc w:val="right"/>
              <w:rPr>
                <w:rFonts w:hint="eastAsia"/>
                <w:snapToGrid/>
              </w:rPr>
            </w:pPr>
            <w:r w:rsidRPr="007665AB">
              <w:rPr>
                <w:rFonts w:hint="eastAsia"/>
                <w:snapToGrid/>
              </w:rPr>
              <w:t xml:space="preserve">900,000 </w:t>
            </w:r>
          </w:p>
        </w:tc>
        <w:tc>
          <w:tcPr>
            <w:tcW w:w="1366" w:type="dxa"/>
            <w:shd w:val="clear" w:color="auto" w:fill="auto"/>
            <w:noWrap/>
            <w:vAlign w:val="center"/>
            <w:hideMark/>
          </w:tcPr>
          <w:p w:rsidR="004814C3" w:rsidRPr="007665AB" w:rsidRDefault="004814C3" w:rsidP="004814C3">
            <w:pPr>
              <w:pStyle w:val="142"/>
              <w:jc w:val="right"/>
              <w:rPr>
                <w:rFonts w:hint="eastAsia"/>
                <w:snapToGrid/>
              </w:rPr>
            </w:pPr>
            <w:r w:rsidRPr="007665AB">
              <w:rPr>
                <w:rFonts w:hint="eastAsia"/>
                <w:snapToGrid/>
              </w:rPr>
              <w:t xml:space="preserve">469,300 </w:t>
            </w:r>
          </w:p>
        </w:tc>
        <w:tc>
          <w:tcPr>
            <w:tcW w:w="1223" w:type="dxa"/>
            <w:shd w:val="clear" w:color="auto" w:fill="auto"/>
            <w:noWrap/>
            <w:vAlign w:val="center"/>
            <w:hideMark/>
          </w:tcPr>
          <w:p w:rsidR="004814C3" w:rsidRPr="007665AB" w:rsidRDefault="004814C3" w:rsidP="004814C3">
            <w:pPr>
              <w:pStyle w:val="142"/>
              <w:jc w:val="right"/>
              <w:rPr>
                <w:rFonts w:hint="eastAsia"/>
                <w:snapToGrid/>
              </w:rPr>
            </w:pPr>
            <w:r w:rsidRPr="007665AB">
              <w:rPr>
                <w:rFonts w:hint="eastAsia"/>
                <w:snapToGrid/>
              </w:rPr>
              <w:t xml:space="preserve">0 </w:t>
            </w:r>
          </w:p>
        </w:tc>
        <w:tc>
          <w:tcPr>
            <w:tcW w:w="1008" w:type="dxa"/>
            <w:shd w:val="clear" w:color="auto" w:fill="auto"/>
            <w:noWrap/>
            <w:vAlign w:val="center"/>
            <w:hideMark/>
          </w:tcPr>
          <w:p w:rsidR="004814C3" w:rsidRPr="007665AB" w:rsidRDefault="004814C3" w:rsidP="004814C3">
            <w:pPr>
              <w:pStyle w:val="142"/>
              <w:jc w:val="right"/>
              <w:rPr>
                <w:rFonts w:hint="eastAsia"/>
                <w:snapToGrid/>
              </w:rPr>
            </w:pPr>
            <w:r w:rsidRPr="007665AB">
              <w:rPr>
                <w:rFonts w:hint="eastAsia"/>
                <w:snapToGrid/>
              </w:rPr>
              <w:t>0.00%</w:t>
            </w:r>
          </w:p>
        </w:tc>
      </w:tr>
      <w:tr w:rsidR="004814C3" w:rsidRPr="007665AB" w:rsidTr="004814C3">
        <w:trPr>
          <w:trHeight w:val="340"/>
        </w:trPr>
        <w:tc>
          <w:tcPr>
            <w:tcW w:w="364" w:type="dxa"/>
            <w:vAlign w:val="center"/>
          </w:tcPr>
          <w:p w:rsidR="004814C3" w:rsidRPr="007665AB" w:rsidRDefault="004814C3" w:rsidP="004814C3">
            <w:pPr>
              <w:pStyle w:val="142"/>
              <w:jc w:val="center"/>
              <w:rPr>
                <w:rFonts w:hint="eastAsia"/>
                <w:snapToGrid/>
              </w:rPr>
            </w:pPr>
            <w:r>
              <w:rPr>
                <w:rFonts w:hint="eastAsia"/>
                <w:snapToGrid/>
              </w:rPr>
              <w:t>2</w:t>
            </w:r>
          </w:p>
        </w:tc>
        <w:tc>
          <w:tcPr>
            <w:tcW w:w="2604" w:type="dxa"/>
            <w:shd w:val="clear" w:color="auto" w:fill="auto"/>
            <w:noWrap/>
            <w:vAlign w:val="center"/>
            <w:hideMark/>
          </w:tcPr>
          <w:p w:rsidR="004814C3" w:rsidRPr="007665AB" w:rsidRDefault="004814C3" w:rsidP="004814C3">
            <w:pPr>
              <w:pStyle w:val="142"/>
              <w:jc w:val="both"/>
              <w:rPr>
                <w:snapToGrid/>
              </w:rPr>
            </w:pPr>
            <w:r w:rsidRPr="007665AB">
              <w:rPr>
                <w:rFonts w:hint="eastAsia"/>
                <w:snapToGrid/>
              </w:rPr>
              <w:t>運維船</w:t>
            </w:r>
          </w:p>
        </w:tc>
        <w:tc>
          <w:tcPr>
            <w:tcW w:w="910" w:type="dxa"/>
            <w:shd w:val="clear" w:color="auto" w:fill="auto"/>
            <w:noWrap/>
            <w:vAlign w:val="center"/>
            <w:hideMark/>
          </w:tcPr>
          <w:p w:rsidR="004814C3" w:rsidRPr="007665AB" w:rsidRDefault="004814C3" w:rsidP="004814C3">
            <w:pPr>
              <w:pStyle w:val="142"/>
              <w:jc w:val="both"/>
              <w:rPr>
                <w:rFonts w:hint="eastAsia"/>
                <w:snapToGrid/>
              </w:rPr>
            </w:pPr>
            <w:r w:rsidRPr="007665AB">
              <w:rPr>
                <w:rFonts w:hint="eastAsia"/>
                <w:snapToGrid/>
              </w:rPr>
              <w:t>109-110</w:t>
            </w:r>
          </w:p>
        </w:tc>
        <w:tc>
          <w:tcPr>
            <w:tcW w:w="1078" w:type="dxa"/>
            <w:shd w:val="clear" w:color="auto" w:fill="auto"/>
            <w:noWrap/>
            <w:vAlign w:val="center"/>
            <w:hideMark/>
          </w:tcPr>
          <w:p w:rsidR="004814C3" w:rsidRPr="007665AB" w:rsidRDefault="004814C3" w:rsidP="004814C3">
            <w:pPr>
              <w:pStyle w:val="142"/>
              <w:jc w:val="right"/>
              <w:rPr>
                <w:rFonts w:hint="eastAsia"/>
                <w:snapToGrid/>
              </w:rPr>
            </w:pPr>
            <w:r w:rsidRPr="007665AB">
              <w:rPr>
                <w:rFonts w:hint="eastAsia"/>
                <w:snapToGrid/>
              </w:rPr>
              <w:t xml:space="preserve">240,000 </w:t>
            </w:r>
          </w:p>
        </w:tc>
        <w:tc>
          <w:tcPr>
            <w:tcW w:w="1366" w:type="dxa"/>
            <w:shd w:val="clear" w:color="auto" w:fill="auto"/>
            <w:noWrap/>
            <w:vAlign w:val="center"/>
            <w:hideMark/>
          </w:tcPr>
          <w:p w:rsidR="004814C3" w:rsidRPr="007665AB" w:rsidRDefault="004814C3" w:rsidP="004814C3">
            <w:pPr>
              <w:pStyle w:val="142"/>
              <w:jc w:val="right"/>
              <w:rPr>
                <w:rFonts w:hint="eastAsia"/>
                <w:snapToGrid/>
              </w:rPr>
            </w:pPr>
            <w:r w:rsidRPr="007665AB">
              <w:rPr>
                <w:rFonts w:hint="eastAsia"/>
                <w:snapToGrid/>
              </w:rPr>
              <w:t xml:space="preserve">221,429 </w:t>
            </w:r>
          </w:p>
        </w:tc>
        <w:tc>
          <w:tcPr>
            <w:tcW w:w="1223" w:type="dxa"/>
            <w:shd w:val="clear" w:color="auto" w:fill="auto"/>
            <w:noWrap/>
            <w:vAlign w:val="center"/>
            <w:hideMark/>
          </w:tcPr>
          <w:p w:rsidR="004814C3" w:rsidRPr="007665AB" w:rsidRDefault="004814C3" w:rsidP="004814C3">
            <w:pPr>
              <w:pStyle w:val="142"/>
              <w:jc w:val="right"/>
              <w:rPr>
                <w:rFonts w:hint="eastAsia"/>
                <w:snapToGrid/>
              </w:rPr>
            </w:pPr>
            <w:r w:rsidRPr="007665AB">
              <w:rPr>
                <w:rFonts w:hint="eastAsia"/>
                <w:snapToGrid/>
              </w:rPr>
              <w:t xml:space="preserve">0 </w:t>
            </w:r>
          </w:p>
        </w:tc>
        <w:tc>
          <w:tcPr>
            <w:tcW w:w="1008" w:type="dxa"/>
            <w:shd w:val="clear" w:color="auto" w:fill="auto"/>
            <w:noWrap/>
            <w:vAlign w:val="center"/>
            <w:hideMark/>
          </w:tcPr>
          <w:p w:rsidR="004814C3" w:rsidRPr="007665AB" w:rsidRDefault="004814C3" w:rsidP="004814C3">
            <w:pPr>
              <w:pStyle w:val="142"/>
              <w:jc w:val="right"/>
              <w:rPr>
                <w:rFonts w:hint="eastAsia"/>
                <w:snapToGrid/>
              </w:rPr>
            </w:pPr>
            <w:r w:rsidRPr="007665AB">
              <w:rPr>
                <w:rFonts w:hint="eastAsia"/>
                <w:snapToGrid/>
              </w:rPr>
              <w:t>0.00%</w:t>
            </w:r>
          </w:p>
        </w:tc>
      </w:tr>
      <w:tr w:rsidR="004814C3" w:rsidRPr="007665AB" w:rsidTr="004814C3">
        <w:trPr>
          <w:trHeight w:val="340"/>
        </w:trPr>
        <w:tc>
          <w:tcPr>
            <w:tcW w:w="364" w:type="dxa"/>
            <w:vAlign w:val="center"/>
          </w:tcPr>
          <w:p w:rsidR="004814C3" w:rsidRPr="007665AB" w:rsidRDefault="004814C3" w:rsidP="004814C3">
            <w:pPr>
              <w:pStyle w:val="142"/>
              <w:jc w:val="center"/>
              <w:rPr>
                <w:rFonts w:hint="eastAsia"/>
                <w:snapToGrid/>
              </w:rPr>
            </w:pPr>
            <w:r>
              <w:rPr>
                <w:rFonts w:hint="eastAsia"/>
                <w:snapToGrid/>
              </w:rPr>
              <w:t>3</w:t>
            </w:r>
          </w:p>
        </w:tc>
        <w:tc>
          <w:tcPr>
            <w:tcW w:w="2604" w:type="dxa"/>
            <w:shd w:val="clear" w:color="auto" w:fill="auto"/>
            <w:noWrap/>
            <w:vAlign w:val="center"/>
            <w:hideMark/>
          </w:tcPr>
          <w:p w:rsidR="004814C3" w:rsidRPr="007665AB" w:rsidRDefault="004814C3" w:rsidP="004814C3">
            <w:pPr>
              <w:pStyle w:val="142"/>
              <w:jc w:val="both"/>
              <w:rPr>
                <w:rFonts w:hint="eastAsia"/>
                <w:snapToGrid/>
              </w:rPr>
            </w:pPr>
            <w:r w:rsidRPr="007665AB">
              <w:rPr>
                <w:rFonts w:hint="eastAsia"/>
                <w:snapToGrid/>
              </w:rPr>
              <w:t>運維船</w:t>
            </w:r>
          </w:p>
        </w:tc>
        <w:tc>
          <w:tcPr>
            <w:tcW w:w="910" w:type="dxa"/>
            <w:shd w:val="clear" w:color="auto" w:fill="auto"/>
            <w:noWrap/>
            <w:vAlign w:val="center"/>
            <w:hideMark/>
          </w:tcPr>
          <w:p w:rsidR="004814C3" w:rsidRPr="007665AB" w:rsidRDefault="004814C3" w:rsidP="004814C3">
            <w:pPr>
              <w:pStyle w:val="142"/>
              <w:jc w:val="both"/>
              <w:rPr>
                <w:rFonts w:hint="eastAsia"/>
                <w:snapToGrid/>
              </w:rPr>
            </w:pPr>
            <w:r w:rsidRPr="007665AB">
              <w:rPr>
                <w:rFonts w:hint="eastAsia"/>
                <w:snapToGrid/>
              </w:rPr>
              <w:t>108-110</w:t>
            </w:r>
          </w:p>
        </w:tc>
        <w:tc>
          <w:tcPr>
            <w:tcW w:w="1078" w:type="dxa"/>
            <w:shd w:val="clear" w:color="auto" w:fill="auto"/>
            <w:noWrap/>
            <w:vAlign w:val="center"/>
            <w:hideMark/>
          </w:tcPr>
          <w:p w:rsidR="004814C3" w:rsidRPr="007665AB" w:rsidRDefault="004814C3" w:rsidP="004814C3">
            <w:pPr>
              <w:pStyle w:val="142"/>
              <w:jc w:val="right"/>
              <w:rPr>
                <w:rFonts w:hint="eastAsia"/>
                <w:snapToGrid/>
              </w:rPr>
            </w:pPr>
            <w:r w:rsidRPr="007665AB">
              <w:rPr>
                <w:rFonts w:hint="eastAsia"/>
                <w:snapToGrid/>
              </w:rPr>
              <w:t xml:space="preserve">265,484 </w:t>
            </w:r>
          </w:p>
        </w:tc>
        <w:tc>
          <w:tcPr>
            <w:tcW w:w="1366" w:type="dxa"/>
            <w:shd w:val="clear" w:color="auto" w:fill="auto"/>
            <w:noWrap/>
            <w:vAlign w:val="center"/>
            <w:hideMark/>
          </w:tcPr>
          <w:p w:rsidR="004814C3" w:rsidRPr="007665AB" w:rsidRDefault="004814C3" w:rsidP="004814C3">
            <w:pPr>
              <w:pStyle w:val="142"/>
              <w:jc w:val="right"/>
              <w:rPr>
                <w:rFonts w:hint="eastAsia"/>
                <w:snapToGrid/>
              </w:rPr>
            </w:pPr>
            <w:r w:rsidRPr="007665AB">
              <w:rPr>
                <w:rFonts w:hint="eastAsia"/>
                <w:snapToGrid/>
              </w:rPr>
              <w:t xml:space="preserve">172,666 </w:t>
            </w:r>
          </w:p>
        </w:tc>
        <w:tc>
          <w:tcPr>
            <w:tcW w:w="1223" w:type="dxa"/>
            <w:shd w:val="clear" w:color="auto" w:fill="auto"/>
            <w:noWrap/>
            <w:vAlign w:val="center"/>
            <w:hideMark/>
          </w:tcPr>
          <w:p w:rsidR="004814C3" w:rsidRPr="007665AB" w:rsidRDefault="004814C3" w:rsidP="004814C3">
            <w:pPr>
              <w:pStyle w:val="142"/>
              <w:jc w:val="right"/>
              <w:rPr>
                <w:rFonts w:hint="eastAsia"/>
                <w:snapToGrid/>
              </w:rPr>
            </w:pPr>
            <w:r w:rsidRPr="007665AB">
              <w:rPr>
                <w:rFonts w:hint="eastAsia"/>
                <w:snapToGrid/>
              </w:rPr>
              <w:t xml:space="preserve">137,527 </w:t>
            </w:r>
          </w:p>
        </w:tc>
        <w:tc>
          <w:tcPr>
            <w:tcW w:w="1008" w:type="dxa"/>
            <w:shd w:val="clear" w:color="auto" w:fill="auto"/>
            <w:noWrap/>
            <w:vAlign w:val="center"/>
            <w:hideMark/>
          </w:tcPr>
          <w:p w:rsidR="004814C3" w:rsidRPr="007665AB" w:rsidRDefault="004814C3" w:rsidP="004814C3">
            <w:pPr>
              <w:pStyle w:val="142"/>
              <w:jc w:val="right"/>
              <w:rPr>
                <w:rFonts w:hint="eastAsia"/>
                <w:snapToGrid/>
              </w:rPr>
            </w:pPr>
            <w:r w:rsidRPr="007665AB">
              <w:rPr>
                <w:rFonts w:hint="eastAsia"/>
                <w:snapToGrid/>
              </w:rPr>
              <w:t>79.65%</w:t>
            </w:r>
          </w:p>
        </w:tc>
      </w:tr>
      <w:tr w:rsidR="004814C3" w:rsidRPr="007665AB" w:rsidTr="004814C3">
        <w:trPr>
          <w:trHeight w:val="340"/>
        </w:trPr>
        <w:tc>
          <w:tcPr>
            <w:tcW w:w="364" w:type="dxa"/>
            <w:vAlign w:val="center"/>
          </w:tcPr>
          <w:p w:rsidR="004814C3" w:rsidRPr="007665AB" w:rsidRDefault="004814C3" w:rsidP="004814C3">
            <w:pPr>
              <w:pStyle w:val="142"/>
              <w:jc w:val="center"/>
              <w:rPr>
                <w:rFonts w:hint="eastAsia"/>
                <w:snapToGrid/>
              </w:rPr>
            </w:pPr>
            <w:r>
              <w:rPr>
                <w:rFonts w:hint="eastAsia"/>
                <w:snapToGrid/>
              </w:rPr>
              <w:t>4</w:t>
            </w:r>
          </w:p>
        </w:tc>
        <w:tc>
          <w:tcPr>
            <w:tcW w:w="2604" w:type="dxa"/>
            <w:shd w:val="clear" w:color="auto" w:fill="auto"/>
            <w:noWrap/>
            <w:vAlign w:val="center"/>
            <w:hideMark/>
          </w:tcPr>
          <w:p w:rsidR="004814C3" w:rsidRPr="007665AB" w:rsidRDefault="004814C3" w:rsidP="004814C3">
            <w:pPr>
              <w:pStyle w:val="142"/>
              <w:jc w:val="both"/>
              <w:rPr>
                <w:rFonts w:hint="eastAsia"/>
                <w:snapToGrid/>
              </w:rPr>
            </w:pPr>
            <w:r w:rsidRPr="007665AB">
              <w:rPr>
                <w:rFonts w:hint="eastAsia"/>
                <w:snapToGrid/>
              </w:rPr>
              <w:t>多功能平台船(140M大型駁船)</w:t>
            </w:r>
          </w:p>
        </w:tc>
        <w:tc>
          <w:tcPr>
            <w:tcW w:w="910" w:type="dxa"/>
            <w:shd w:val="clear" w:color="auto" w:fill="auto"/>
            <w:noWrap/>
            <w:vAlign w:val="center"/>
            <w:hideMark/>
          </w:tcPr>
          <w:p w:rsidR="004814C3" w:rsidRPr="007665AB" w:rsidRDefault="004814C3" w:rsidP="004814C3">
            <w:pPr>
              <w:pStyle w:val="142"/>
              <w:jc w:val="both"/>
              <w:rPr>
                <w:rFonts w:hint="eastAsia"/>
                <w:snapToGrid/>
              </w:rPr>
            </w:pPr>
            <w:r w:rsidRPr="007665AB">
              <w:rPr>
                <w:rFonts w:hint="eastAsia"/>
                <w:snapToGrid/>
              </w:rPr>
              <w:t>108-109</w:t>
            </w:r>
          </w:p>
        </w:tc>
        <w:tc>
          <w:tcPr>
            <w:tcW w:w="1078" w:type="dxa"/>
            <w:shd w:val="clear" w:color="auto" w:fill="auto"/>
            <w:noWrap/>
            <w:vAlign w:val="center"/>
            <w:hideMark/>
          </w:tcPr>
          <w:p w:rsidR="004814C3" w:rsidRPr="007665AB" w:rsidRDefault="004814C3" w:rsidP="004814C3">
            <w:pPr>
              <w:pStyle w:val="142"/>
              <w:jc w:val="right"/>
              <w:rPr>
                <w:rFonts w:hint="eastAsia"/>
                <w:snapToGrid/>
              </w:rPr>
            </w:pPr>
            <w:r w:rsidRPr="007665AB">
              <w:rPr>
                <w:rFonts w:hint="eastAsia"/>
                <w:snapToGrid/>
              </w:rPr>
              <w:t xml:space="preserve">700,000 </w:t>
            </w:r>
          </w:p>
        </w:tc>
        <w:tc>
          <w:tcPr>
            <w:tcW w:w="1366" w:type="dxa"/>
            <w:shd w:val="clear" w:color="auto" w:fill="auto"/>
            <w:noWrap/>
            <w:vAlign w:val="center"/>
            <w:hideMark/>
          </w:tcPr>
          <w:p w:rsidR="004814C3" w:rsidRPr="007665AB" w:rsidRDefault="004814C3" w:rsidP="004814C3">
            <w:pPr>
              <w:pStyle w:val="142"/>
              <w:jc w:val="right"/>
              <w:rPr>
                <w:rFonts w:hint="eastAsia"/>
                <w:snapToGrid/>
              </w:rPr>
            </w:pPr>
            <w:r w:rsidRPr="007665AB">
              <w:rPr>
                <w:rFonts w:hint="eastAsia"/>
                <w:snapToGrid/>
              </w:rPr>
              <w:t xml:space="preserve">300,000 </w:t>
            </w:r>
          </w:p>
        </w:tc>
        <w:tc>
          <w:tcPr>
            <w:tcW w:w="1223" w:type="dxa"/>
            <w:shd w:val="clear" w:color="auto" w:fill="auto"/>
            <w:noWrap/>
            <w:vAlign w:val="center"/>
            <w:hideMark/>
          </w:tcPr>
          <w:p w:rsidR="004814C3" w:rsidRPr="007665AB" w:rsidRDefault="004814C3" w:rsidP="004814C3">
            <w:pPr>
              <w:pStyle w:val="142"/>
              <w:jc w:val="right"/>
              <w:rPr>
                <w:rFonts w:hint="eastAsia"/>
                <w:snapToGrid/>
              </w:rPr>
            </w:pPr>
            <w:r w:rsidRPr="007665AB">
              <w:rPr>
                <w:rFonts w:hint="eastAsia"/>
                <w:snapToGrid/>
              </w:rPr>
              <w:t xml:space="preserve">222,559 </w:t>
            </w:r>
          </w:p>
        </w:tc>
        <w:tc>
          <w:tcPr>
            <w:tcW w:w="1008" w:type="dxa"/>
            <w:shd w:val="clear" w:color="auto" w:fill="auto"/>
            <w:noWrap/>
            <w:vAlign w:val="center"/>
            <w:hideMark/>
          </w:tcPr>
          <w:p w:rsidR="004814C3" w:rsidRPr="007665AB" w:rsidRDefault="004814C3" w:rsidP="004814C3">
            <w:pPr>
              <w:pStyle w:val="142"/>
              <w:jc w:val="right"/>
              <w:rPr>
                <w:rFonts w:hint="eastAsia"/>
                <w:snapToGrid/>
              </w:rPr>
            </w:pPr>
            <w:r w:rsidRPr="007665AB">
              <w:rPr>
                <w:rFonts w:hint="eastAsia"/>
                <w:snapToGrid/>
              </w:rPr>
              <w:t>74.19%</w:t>
            </w:r>
          </w:p>
        </w:tc>
      </w:tr>
      <w:tr w:rsidR="004814C3" w:rsidRPr="007665AB" w:rsidTr="004814C3">
        <w:trPr>
          <w:trHeight w:val="340"/>
        </w:trPr>
        <w:tc>
          <w:tcPr>
            <w:tcW w:w="364" w:type="dxa"/>
            <w:vAlign w:val="center"/>
          </w:tcPr>
          <w:p w:rsidR="004814C3" w:rsidRPr="007665AB" w:rsidRDefault="004814C3" w:rsidP="004814C3">
            <w:pPr>
              <w:pStyle w:val="142"/>
              <w:jc w:val="center"/>
              <w:rPr>
                <w:rFonts w:hint="eastAsia"/>
                <w:snapToGrid/>
              </w:rPr>
            </w:pPr>
            <w:r>
              <w:rPr>
                <w:rFonts w:hint="eastAsia"/>
                <w:snapToGrid/>
              </w:rPr>
              <w:t>5</w:t>
            </w:r>
          </w:p>
        </w:tc>
        <w:tc>
          <w:tcPr>
            <w:tcW w:w="2604" w:type="dxa"/>
            <w:shd w:val="clear" w:color="auto" w:fill="auto"/>
            <w:noWrap/>
            <w:vAlign w:val="center"/>
            <w:hideMark/>
          </w:tcPr>
          <w:p w:rsidR="004814C3" w:rsidRPr="007665AB" w:rsidRDefault="004814C3" w:rsidP="004814C3">
            <w:pPr>
              <w:pStyle w:val="142"/>
              <w:jc w:val="both"/>
              <w:rPr>
                <w:rFonts w:hint="eastAsia"/>
                <w:snapToGrid/>
              </w:rPr>
            </w:pPr>
            <w:r w:rsidRPr="007665AB">
              <w:rPr>
                <w:rFonts w:hint="eastAsia"/>
                <w:snapToGrid/>
              </w:rPr>
              <w:t>3400~5200匹馬力拖船</w:t>
            </w:r>
          </w:p>
        </w:tc>
        <w:tc>
          <w:tcPr>
            <w:tcW w:w="910" w:type="dxa"/>
            <w:shd w:val="clear" w:color="auto" w:fill="auto"/>
            <w:noWrap/>
            <w:vAlign w:val="center"/>
            <w:hideMark/>
          </w:tcPr>
          <w:p w:rsidR="004814C3" w:rsidRPr="007665AB" w:rsidRDefault="004814C3" w:rsidP="004814C3">
            <w:pPr>
              <w:pStyle w:val="142"/>
              <w:jc w:val="both"/>
              <w:rPr>
                <w:rFonts w:hint="eastAsia"/>
                <w:snapToGrid/>
              </w:rPr>
            </w:pPr>
            <w:r w:rsidRPr="007665AB">
              <w:rPr>
                <w:rFonts w:hint="eastAsia"/>
                <w:snapToGrid/>
              </w:rPr>
              <w:t>108-109</w:t>
            </w:r>
          </w:p>
        </w:tc>
        <w:tc>
          <w:tcPr>
            <w:tcW w:w="1078" w:type="dxa"/>
            <w:shd w:val="clear" w:color="auto" w:fill="auto"/>
            <w:noWrap/>
            <w:vAlign w:val="center"/>
            <w:hideMark/>
          </w:tcPr>
          <w:p w:rsidR="004814C3" w:rsidRPr="007665AB" w:rsidRDefault="004814C3" w:rsidP="004814C3">
            <w:pPr>
              <w:pStyle w:val="142"/>
              <w:jc w:val="right"/>
              <w:rPr>
                <w:rFonts w:hint="eastAsia"/>
                <w:snapToGrid/>
              </w:rPr>
            </w:pPr>
            <w:r>
              <w:rPr>
                <w:rFonts w:hint="eastAsia"/>
                <w:snapToGrid/>
              </w:rPr>
              <w:t>4</w:t>
            </w:r>
            <w:r w:rsidR="00BA3B24">
              <w:rPr>
                <w:rFonts w:hint="eastAsia"/>
                <w:snapToGrid/>
              </w:rPr>
              <w:t>8</w:t>
            </w:r>
            <w:r>
              <w:rPr>
                <w:rFonts w:hint="eastAsia"/>
                <w:snapToGrid/>
              </w:rPr>
              <w:t>0</w:t>
            </w:r>
            <w:r w:rsidRPr="007665AB">
              <w:rPr>
                <w:rFonts w:hint="eastAsia"/>
                <w:snapToGrid/>
              </w:rPr>
              <w:t xml:space="preserve">,000 </w:t>
            </w:r>
          </w:p>
        </w:tc>
        <w:tc>
          <w:tcPr>
            <w:tcW w:w="1366" w:type="dxa"/>
            <w:shd w:val="clear" w:color="auto" w:fill="auto"/>
            <w:noWrap/>
            <w:vAlign w:val="center"/>
            <w:hideMark/>
          </w:tcPr>
          <w:p w:rsidR="004814C3" w:rsidRPr="007665AB" w:rsidRDefault="004814C3" w:rsidP="00BA3B24">
            <w:pPr>
              <w:pStyle w:val="142"/>
              <w:jc w:val="right"/>
              <w:rPr>
                <w:rFonts w:hint="eastAsia"/>
                <w:snapToGrid/>
              </w:rPr>
            </w:pPr>
            <w:r>
              <w:rPr>
                <w:rFonts w:hint="eastAsia"/>
                <w:snapToGrid/>
              </w:rPr>
              <w:t>4</w:t>
            </w:r>
            <w:r w:rsidR="00BA3B24">
              <w:rPr>
                <w:rFonts w:hint="eastAsia"/>
                <w:snapToGrid/>
              </w:rPr>
              <w:t>8</w:t>
            </w:r>
            <w:r>
              <w:rPr>
                <w:rFonts w:hint="eastAsia"/>
                <w:snapToGrid/>
              </w:rPr>
              <w:t>0</w:t>
            </w:r>
            <w:r w:rsidRPr="007665AB">
              <w:rPr>
                <w:rFonts w:hint="eastAsia"/>
                <w:snapToGrid/>
              </w:rPr>
              <w:t xml:space="preserve">,000 </w:t>
            </w:r>
          </w:p>
        </w:tc>
        <w:tc>
          <w:tcPr>
            <w:tcW w:w="1223" w:type="dxa"/>
            <w:shd w:val="clear" w:color="auto" w:fill="auto"/>
            <w:noWrap/>
            <w:vAlign w:val="center"/>
            <w:hideMark/>
          </w:tcPr>
          <w:p w:rsidR="004814C3" w:rsidRPr="007665AB" w:rsidRDefault="004814C3" w:rsidP="004814C3">
            <w:pPr>
              <w:pStyle w:val="142"/>
              <w:jc w:val="right"/>
              <w:rPr>
                <w:rFonts w:hint="eastAsia"/>
                <w:snapToGrid/>
              </w:rPr>
            </w:pPr>
            <w:r w:rsidRPr="007665AB">
              <w:rPr>
                <w:rFonts w:hint="eastAsia"/>
                <w:snapToGrid/>
              </w:rPr>
              <w:t xml:space="preserve">0 </w:t>
            </w:r>
          </w:p>
        </w:tc>
        <w:tc>
          <w:tcPr>
            <w:tcW w:w="1008" w:type="dxa"/>
            <w:shd w:val="clear" w:color="auto" w:fill="auto"/>
            <w:noWrap/>
            <w:vAlign w:val="center"/>
            <w:hideMark/>
          </w:tcPr>
          <w:p w:rsidR="004814C3" w:rsidRPr="007665AB" w:rsidRDefault="004814C3" w:rsidP="004814C3">
            <w:pPr>
              <w:pStyle w:val="142"/>
              <w:jc w:val="right"/>
              <w:rPr>
                <w:rFonts w:hint="eastAsia"/>
                <w:snapToGrid/>
              </w:rPr>
            </w:pPr>
            <w:r w:rsidRPr="007665AB">
              <w:rPr>
                <w:rFonts w:hint="eastAsia"/>
                <w:snapToGrid/>
              </w:rPr>
              <w:t>0.00%</w:t>
            </w:r>
          </w:p>
        </w:tc>
      </w:tr>
      <w:tr w:rsidR="004814C3" w:rsidRPr="007665AB" w:rsidTr="004814C3">
        <w:trPr>
          <w:trHeight w:val="340"/>
        </w:trPr>
        <w:tc>
          <w:tcPr>
            <w:tcW w:w="364" w:type="dxa"/>
            <w:vAlign w:val="center"/>
          </w:tcPr>
          <w:p w:rsidR="004814C3" w:rsidRPr="007665AB" w:rsidRDefault="004814C3" w:rsidP="004814C3">
            <w:pPr>
              <w:pStyle w:val="142"/>
              <w:jc w:val="center"/>
              <w:rPr>
                <w:rFonts w:hint="eastAsia"/>
                <w:snapToGrid/>
              </w:rPr>
            </w:pPr>
            <w:r>
              <w:rPr>
                <w:rFonts w:hint="eastAsia"/>
                <w:snapToGrid/>
              </w:rPr>
              <w:t>6</w:t>
            </w:r>
          </w:p>
        </w:tc>
        <w:tc>
          <w:tcPr>
            <w:tcW w:w="2604" w:type="dxa"/>
            <w:shd w:val="clear" w:color="auto" w:fill="auto"/>
            <w:noWrap/>
            <w:vAlign w:val="center"/>
            <w:hideMark/>
          </w:tcPr>
          <w:p w:rsidR="004814C3" w:rsidRPr="007665AB" w:rsidRDefault="004814C3" w:rsidP="004814C3">
            <w:pPr>
              <w:pStyle w:val="142"/>
              <w:jc w:val="both"/>
              <w:rPr>
                <w:rFonts w:hint="eastAsia"/>
                <w:snapToGrid/>
              </w:rPr>
            </w:pPr>
            <w:r w:rsidRPr="007665AB">
              <w:rPr>
                <w:rFonts w:hint="eastAsia"/>
                <w:snapToGrid/>
              </w:rPr>
              <w:t>3200~5200匹馬力拖船</w:t>
            </w:r>
          </w:p>
        </w:tc>
        <w:tc>
          <w:tcPr>
            <w:tcW w:w="910" w:type="dxa"/>
            <w:shd w:val="clear" w:color="auto" w:fill="auto"/>
            <w:noWrap/>
            <w:vAlign w:val="center"/>
            <w:hideMark/>
          </w:tcPr>
          <w:p w:rsidR="004814C3" w:rsidRPr="007665AB" w:rsidRDefault="004814C3" w:rsidP="004814C3">
            <w:pPr>
              <w:pStyle w:val="142"/>
              <w:jc w:val="both"/>
              <w:rPr>
                <w:rFonts w:hint="eastAsia"/>
                <w:snapToGrid/>
              </w:rPr>
            </w:pPr>
            <w:r w:rsidRPr="007665AB">
              <w:rPr>
                <w:rFonts w:hint="eastAsia"/>
                <w:snapToGrid/>
              </w:rPr>
              <w:t>109-111</w:t>
            </w:r>
          </w:p>
        </w:tc>
        <w:tc>
          <w:tcPr>
            <w:tcW w:w="1078" w:type="dxa"/>
            <w:shd w:val="clear" w:color="auto" w:fill="auto"/>
            <w:noWrap/>
            <w:vAlign w:val="center"/>
            <w:hideMark/>
          </w:tcPr>
          <w:p w:rsidR="004814C3" w:rsidRPr="007665AB" w:rsidRDefault="004814C3" w:rsidP="004814C3">
            <w:pPr>
              <w:pStyle w:val="142"/>
              <w:jc w:val="right"/>
              <w:rPr>
                <w:rFonts w:hint="eastAsia"/>
                <w:snapToGrid/>
              </w:rPr>
            </w:pPr>
            <w:r w:rsidRPr="007665AB">
              <w:rPr>
                <w:rFonts w:hint="eastAsia"/>
                <w:snapToGrid/>
              </w:rPr>
              <w:t xml:space="preserve">400,000 </w:t>
            </w:r>
          </w:p>
        </w:tc>
        <w:tc>
          <w:tcPr>
            <w:tcW w:w="1366" w:type="dxa"/>
            <w:shd w:val="clear" w:color="auto" w:fill="auto"/>
            <w:noWrap/>
            <w:vAlign w:val="center"/>
            <w:hideMark/>
          </w:tcPr>
          <w:p w:rsidR="004814C3" w:rsidRPr="007665AB" w:rsidRDefault="004814C3" w:rsidP="004814C3">
            <w:pPr>
              <w:pStyle w:val="142"/>
              <w:jc w:val="right"/>
              <w:rPr>
                <w:rFonts w:hint="eastAsia"/>
                <w:snapToGrid/>
              </w:rPr>
            </w:pPr>
            <w:r w:rsidRPr="007665AB">
              <w:rPr>
                <w:rFonts w:hint="eastAsia"/>
                <w:snapToGrid/>
              </w:rPr>
              <w:t xml:space="preserve">160,000 </w:t>
            </w:r>
          </w:p>
        </w:tc>
        <w:tc>
          <w:tcPr>
            <w:tcW w:w="1223" w:type="dxa"/>
            <w:shd w:val="clear" w:color="auto" w:fill="auto"/>
            <w:noWrap/>
            <w:vAlign w:val="center"/>
            <w:hideMark/>
          </w:tcPr>
          <w:p w:rsidR="004814C3" w:rsidRPr="007665AB" w:rsidRDefault="004814C3" w:rsidP="004814C3">
            <w:pPr>
              <w:pStyle w:val="142"/>
              <w:jc w:val="right"/>
              <w:rPr>
                <w:rFonts w:hint="eastAsia"/>
                <w:snapToGrid/>
              </w:rPr>
            </w:pPr>
            <w:r w:rsidRPr="007665AB">
              <w:rPr>
                <w:rFonts w:hint="eastAsia"/>
                <w:snapToGrid/>
              </w:rPr>
              <w:t xml:space="preserve">0 </w:t>
            </w:r>
          </w:p>
        </w:tc>
        <w:tc>
          <w:tcPr>
            <w:tcW w:w="1008" w:type="dxa"/>
            <w:shd w:val="clear" w:color="auto" w:fill="auto"/>
            <w:noWrap/>
            <w:vAlign w:val="center"/>
            <w:hideMark/>
          </w:tcPr>
          <w:p w:rsidR="004814C3" w:rsidRPr="007665AB" w:rsidRDefault="004814C3" w:rsidP="004814C3">
            <w:pPr>
              <w:pStyle w:val="142"/>
              <w:jc w:val="right"/>
              <w:rPr>
                <w:rFonts w:hint="eastAsia"/>
                <w:snapToGrid/>
              </w:rPr>
            </w:pPr>
            <w:r w:rsidRPr="007665AB">
              <w:rPr>
                <w:rFonts w:hint="eastAsia"/>
                <w:snapToGrid/>
              </w:rPr>
              <w:t>0.00%</w:t>
            </w:r>
          </w:p>
        </w:tc>
      </w:tr>
      <w:tr w:rsidR="004814C3" w:rsidRPr="007665AB" w:rsidTr="00CF4F26">
        <w:trPr>
          <w:trHeight w:val="340"/>
        </w:trPr>
        <w:tc>
          <w:tcPr>
            <w:tcW w:w="2968" w:type="dxa"/>
            <w:gridSpan w:val="2"/>
            <w:vAlign w:val="center"/>
          </w:tcPr>
          <w:p w:rsidR="004814C3" w:rsidRPr="007665AB" w:rsidRDefault="004814C3" w:rsidP="004814C3">
            <w:pPr>
              <w:pStyle w:val="142"/>
              <w:jc w:val="both"/>
              <w:rPr>
                <w:rFonts w:hint="eastAsia"/>
                <w:snapToGrid/>
              </w:rPr>
            </w:pPr>
            <w:r w:rsidRPr="007665AB">
              <w:rPr>
                <w:rFonts w:hint="eastAsia"/>
                <w:snapToGrid/>
              </w:rPr>
              <w:t>合計</w:t>
            </w:r>
          </w:p>
        </w:tc>
        <w:tc>
          <w:tcPr>
            <w:tcW w:w="910" w:type="dxa"/>
            <w:shd w:val="clear" w:color="auto" w:fill="auto"/>
            <w:noWrap/>
            <w:vAlign w:val="center"/>
            <w:hideMark/>
          </w:tcPr>
          <w:p w:rsidR="004814C3" w:rsidRPr="007665AB" w:rsidRDefault="004814C3" w:rsidP="004814C3">
            <w:pPr>
              <w:pStyle w:val="142"/>
              <w:jc w:val="both"/>
              <w:rPr>
                <w:rFonts w:hint="eastAsia"/>
                <w:snapToGrid/>
              </w:rPr>
            </w:pPr>
          </w:p>
        </w:tc>
        <w:tc>
          <w:tcPr>
            <w:tcW w:w="1078" w:type="dxa"/>
            <w:shd w:val="clear" w:color="auto" w:fill="auto"/>
            <w:noWrap/>
            <w:vAlign w:val="center"/>
            <w:hideMark/>
          </w:tcPr>
          <w:p w:rsidR="004814C3" w:rsidRPr="007665AB" w:rsidRDefault="004814C3" w:rsidP="004814C3">
            <w:pPr>
              <w:pStyle w:val="142"/>
              <w:jc w:val="right"/>
              <w:rPr>
                <w:rFonts w:ascii="Times New Roman" w:eastAsia="Times New Roman"/>
                <w:snapToGrid/>
                <w:sz w:val="20"/>
                <w:szCs w:val="20"/>
              </w:rPr>
            </w:pPr>
          </w:p>
        </w:tc>
        <w:tc>
          <w:tcPr>
            <w:tcW w:w="1366" w:type="dxa"/>
            <w:shd w:val="clear" w:color="auto" w:fill="auto"/>
            <w:noWrap/>
            <w:vAlign w:val="center"/>
            <w:hideMark/>
          </w:tcPr>
          <w:p w:rsidR="004814C3" w:rsidRPr="007665AB" w:rsidRDefault="004814C3" w:rsidP="004814C3">
            <w:pPr>
              <w:pStyle w:val="142"/>
              <w:jc w:val="right"/>
              <w:rPr>
                <w:snapToGrid/>
              </w:rPr>
            </w:pPr>
            <w:r w:rsidRPr="007665AB">
              <w:rPr>
                <w:rFonts w:hint="eastAsia"/>
                <w:snapToGrid/>
              </w:rPr>
              <w:t xml:space="preserve">1,803,395 </w:t>
            </w:r>
          </w:p>
        </w:tc>
        <w:tc>
          <w:tcPr>
            <w:tcW w:w="1223" w:type="dxa"/>
            <w:shd w:val="clear" w:color="auto" w:fill="auto"/>
            <w:noWrap/>
            <w:vAlign w:val="center"/>
            <w:hideMark/>
          </w:tcPr>
          <w:p w:rsidR="004814C3" w:rsidRPr="007665AB" w:rsidRDefault="004814C3" w:rsidP="004814C3">
            <w:pPr>
              <w:pStyle w:val="142"/>
              <w:jc w:val="right"/>
              <w:rPr>
                <w:rFonts w:hint="eastAsia"/>
                <w:snapToGrid/>
              </w:rPr>
            </w:pPr>
            <w:r w:rsidRPr="007665AB">
              <w:rPr>
                <w:rFonts w:hint="eastAsia"/>
                <w:snapToGrid/>
              </w:rPr>
              <w:t xml:space="preserve">360,086 </w:t>
            </w:r>
          </w:p>
        </w:tc>
        <w:tc>
          <w:tcPr>
            <w:tcW w:w="1008" w:type="dxa"/>
            <w:shd w:val="clear" w:color="auto" w:fill="auto"/>
            <w:noWrap/>
            <w:vAlign w:val="center"/>
            <w:hideMark/>
          </w:tcPr>
          <w:p w:rsidR="004814C3" w:rsidRPr="007665AB" w:rsidRDefault="004814C3" w:rsidP="004814C3">
            <w:pPr>
              <w:pStyle w:val="142"/>
              <w:jc w:val="right"/>
              <w:rPr>
                <w:rFonts w:hint="eastAsia"/>
                <w:snapToGrid/>
              </w:rPr>
            </w:pPr>
            <w:r w:rsidRPr="007665AB">
              <w:rPr>
                <w:rFonts w:hint="eastAsia"/>
                <w:snapToGrid/>
              </w:rPr>
              <w:t>19.97%</w:t>
            </w:r>
          </w:p>
        </w:tc>
      </w:tr>
    </w:tbl>
    <w:p w:rsidR="00C017DD" w:rsidRDefault="00C017DD" w:rsidP="00DB32D0">
      <w:pPr>
        <w:pStyle w:val="142"/>
        <w:ind w:left="568" w:hanging="568"/>
        <w:rPr>
          <w:rFonts w:hint="eastAsia"/>
        </w:rPr>
      </w:pPr>
      <w:r>
        <w:rPr>
          <w:rFonts w:hint="eastAsia"/>
        </w:rPr>
        <w:t>資料來源：港務公司；本報告整理</w:t>
      </w:r>
      <w:r w:rsidRPr="002523D2">
        <w:rPr>
          <w:rFonts w:hint="eastAsia"/>
          <w:lang w:eastAsia="zh-HK"/>
        </w:rPr>
        <w:t>。</w:t>
      </w:r>
    </w:p>
    <w:p w:rsidR="00C017DD" w:rsidRPr="00745B50" w:rsidRDefault="00C017DD" w:rsidP="00DB32D0">
      <w:pPr>
        <w:ind w:left="567" w:firstLine="567"/>
        <w:rPr>
          <w:rFonts w:hAnsi="標楷體" w:hint="eastAsia"/>
        </w:rPr>
      </w:pPr>
      <w:r w:rsidRPr="00302E17">
        <w:rPr>
          <w:rFonts w:hint="eastAsia"/>
        </w:rPr>
        <w:t>綜上，</w:t>
      </w:r>
      <w:r>
        <w:rPr>
          <w:rFonts w:hint="eastAsia"/>
        </w:rPr>
        <w:t>港勤公司</w:t>
      </w:r>
      <w:r w:rsidRPr="0037142F">
        <w:rPr>
          <w:rFonts w:hint="eastAsia"/>
        </w:rPr>
        <w:t>主要營運項目為曳船業務</w:t>
      </w:r>
      <w:r>
        <w:rPr>
          <w:rFonts w:hint="eastAsia"/>
        </w:rPr>
        <w:t>，惟</w:t>
      </w:r>
      <w:r w:rsidRPr="00A018E1">
        <w:rPr>
          <w:rFonts w:hint="eastAsia"/>
        </w:rPr>
        <w:t>因多角化業務發展需求須購置其他類型船舶</w:t>
      </w:r>
      <w:r>
        <w:rPr>
          <w:rFonts w:hint="eastAsia"/>
        </w:rPr>
        <w:t>，</w:t>
      </w:r>
      <w:r w:rsidRPr="0037142F">
        <w:rPr>
          <w:rFonts w:hint="eastAsia"/>
        </w:rPr>
        <w:t>拖船船隊汰舊</w:t>
      </w:r>
      <w:r>
        <w:rPr>
          <w:rFonts w:hint="eastAsia"/>
        </w:rPr>
        <w:t>改</w:t>
      </w:r>
      <w:r w:rsidRPr="0037142F">
        <w:rPr>
          <w:rFonts w:hint="eastAsia"/>
        </w:rPr>
        <w:t>採前</w:t>
      </w:r>
      <w:r w:rsidRPr="0037142F">
        <w:t>(期)慢後(期)快策略滾動式檢討，並輔以維修，俟相關多角化業務發展成熟穩定後，再逐批汰換</w:t>
      </w:r>
      <w:r>
        <w:rPr>
          <w:rFonts w:hint="eastAsia"/>
        </w:rPr>
        <w:t>。</w:t>
      </w:r>
      <w:r w:rsidR="003A5955">
        <w:rPr>
          <w:rFonts w:hint="eastAsia"/>
        </w:rPr>
        <w:t>該公司</w:t>
      </w:r>
      <w:r w:rsidR="003A5955" w:rsidRPr="003A5955">
        <w:rPr>
          <w:rFonts w:hint="eastAsia"/>
          <w:color w:val="000000"/>
        </w:rPr>
        <w:t>109年度執行之船舶購置案共6案，整體預算執行率19.97%</w:t>
      </w:r>
      <w:r w:rsidR="003765A5">
        <w:rPr>
          <w:rFonts w:hint="eastAsia"/>
          <w:color w:val="000000"/>
        </w:rPr>
        <w:t>未如預期，</w:t>
      </w:r>
      <w:r w:rsidR="00D45E9B">
        <w:rPr>
          <w:rFonts w:hint="eastAsia"/>
          <w:color w:val="000000"/>
        </w:rPr>
        <w:t>且</w:t>
      </w:r>
      <w:r w:rsidR="003765A5">
        <w:rPr>
          <w:rFonts w:hint="eastAsia"/>
          <w:color w:val="000000"/>
        </w:rPr>
        <w:t>未執行之4案中有2案業經董事會同意預算停支</w:t>
      </w:r>
      <w:r>
        <w:rPr>
          <w:rFonts w:hint="eastAsia"/>
          <w:color w:val="000000"/>
        </w:rPr>
        <w:t>，</w:t>
      </w:r>
      <w:r w:rsidR="003765A5">
        <w:rPr>
          <w:rFonts w:hint="eastAsia"/>
          <w:color w:val="000000"/>
        </w:rPr>
        <w:t>規劃評估</w:t>
      </w:r>
      <w:r w:rsidR="003765A5">
        <w:rPr>
          <w:rFonts w:hint="eastAsia"/>
        </w:rPr>
        <w:t>似欠周妥，允宜檢討改善</w:t>
      </w:r>
      <w:r w:rsidRPr="00BA0205">
        <w:rPr>
          <w:rFonts w:hint="eastAsia"/>
        </w:rPr>
        <w:t>。</w:t>
      </w:r>
      <w:bookmarkEnd w:id="28"/>
    </w:p>
    <w:bookmarkEnd w:id="1"/>
    <w:bookmarkEnd w:id="2"/>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rsidR="00A17EBE" w:rsidRPr="00A17EBE" w:rsidRDefault="00A17EBE" w:rsidP="00A17EBE">
      <w:pPr>
        <w:pStyle w:val="aa"/>
        <w:ind w:left="648" w:hanging="648"/>
        <w:rPr>
          <w:rFonts w:hint="eastAsia"/>
          <w:color w:val="000000"/>
        </w:rPr>
      </w:pPr>
      <w:r w:rsidRPr="00D26F22">
        <w:rPr>
          <w:rFonts w:hint="eastAsia"/>
        </w:rPr>
        <w:t>（分機：1916 黃怡娟）</w:t>
      </w:r>
    </w:p>
    <w:sectPr w:rsidR="00A17EBE" w:rsidRPr="00A17EBE" w:rsidSect="00DF03C8">
      <w:pgSz w:w="11907" w:h="16840" w:code="9"/>
      <w:pgMar w:top="1701" w:right="1674"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0021" w:rsidRDefault="00780021" w:rsidP="00064A63">
      <w:pPr>
        <w:ind w:left="560" w:firstLine="560"/>
      </w:pPr>
      <w:r>
        <w:separator/>
      </w:r>
    </w:p>
  </w:endnote>
  <w:endnote w:type="continuationSeparator" w:id="0">
    <w:p w:rsidR="00780021" w:rsidRDefault="00780021" w:rsidP="00064A6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細明體">
    <w:panose1 w:val="020203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259" w:rsidRDefault="00487259" w:rsidP="00A327E1">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noProof/>
      </w:rPr>
      <w:t>1</w:t>
    </w:r>
    <w:r>
      <w:fldChar w:fldCharType="end"/>
    </w:r>
  </w:p>
  <w:p w:rsidR="00487259" w:rsidRDefault="00487259" w:rsidP="00A327E1">
    <w:pPr>
      <w:ind w:left="560" w:rightChars="131" w:right="367" w:firstLine="5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259" w:rsidRPr="009F5197" w:rsidRDefault="00487259" w:rsidP="00487259">
    <w:pPr>
      <w:pStyle w:val="afb"/>
      <w:ind w:leftChars="0" w:left="567" w:right="366" w:firstLineChars="0" w:firstLine="567"/>
      <w:jc w:val="center"/>
    </w:pPr>
    <w:r>
      <w:fldChar w:fldCharType="begin"/>
    </w:r>
    <w:r>
      <w:instrText>PAGE   \* MERGEFORMAT</w:instrText>
    </w:r>
    <w:r>
      <w:fldChar w:fldCharType="separate"/>
    </w:r>
    <w:r w:rsidR="00EB6714" w:rsidRPr="00EB6714">
      <w:rPr>
        <w:noProof/>
        <w:lang w:val="zh-TW"/>
      </w:rP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259" w:rsidRDefault="00487259" w:rsidP="00A327E1">
    <w:pPr>
      <w:pStyle w:val="afb"/>
      <w:ind w:left="560" w:rightChars="131" w:right="367" w:firstLine="40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0021" w:rsidRDefault="00780021" w:rsidP="00064A63">
      <w:pPr>
        <w:ind w:left="560" w:firstLine="560"/>
      </w:pPr>
      <w:r>
        <w:separator/>
      </w:r>
    </w:p>
  </w:footnote>
  <w:footnote w:type="continuationSeparator" w:id="0">
    <w:p w:rsidR="00780021" w:rsidRDefault="00780021" w:rsidP="00064A63">
      <w:pPr>
        <w:ind w:left="560" w:firstLine="560"/>
      </w:pPr>
      <w:r>
        <w:continuationSeparator/>
      </w:r>
    </w:p>
  </w:footnote>
  <w:footnote w:id="1">
    <w:p w:rsidR="00C017DD" w:rsidRPr="00E75613" w:rsidRDefault="00C017DD" w:rsidP="001A05BC">
      <w:pPr>
        <w:pStyle w:val="142"/>
        <w:jc w:val="both"/>
        <w:rPr>
          <w:rFonts w:hint="eastAsia"/>
        </w:rPr>
      </w:pPr>
      <w:r w:rsidRPr="00E75613">
        <w:rPr>
          <w:rStyle w:val="aff0"/>
          <w:szCs w:val="24"/>
        </w:rPr>
        <w:footnoteRef/>
      </w:r>
      <w:r w:rsidRPr="00E75613">
        <w:t xml:space="preserve"> </w:t>
      </w:r>
      <w:r w:rsidRPr="00E75613">
        <w:rPr>
          <w:rFonts w:hint="eastAsia"/>
        </w:rPr>
        <w:t>高雄港103</w:t>
      </w:r>
      <w:r>
        <w:rPr>
          <w:rFonts w:hint="eastAsia"/>
        </w:rPr>
        <w:t>及104</w:t>
      </w:r>
      <w:r w:rsidRPr="00E75613">
        <w:rPr>
          <w:rFonts w:hint="eastAsia"/>
        </w:rPr>
        <w:t>年度貨櫃裝卸量</w:t>
      </w:r>
      <w:r>
        <w:rPr>
          <w:rFonts w:hint="eastAsia"/>
        </w:rPr>
        <w:t>分別</w:t>
      </w:r>
      <w:r w:rsidRPr="00E75613">
        <w:rPr>
          <w:rFonts w:hint="eastAsia"/>
        </w:rPr>
        <w:t>為1,059.3萬TEU</w:t>
      </w:r>
      <w:r>
        <w:rPr>
          <w:rFonts w:hint="eastAsia"/>
        </w:rPr>
        <w:t>及1,026.4萬 TEU</w:t>
      </w:r>
      <w:r w:rsidRPr="00E75613">
        <w:rPr>
          <w:rFonts w:hint="eastAsia"/>
        </w:rPr>
        <w:t>，其餘年度詳表</w:t>
      </w:r>
      <w:r>
        <w:rPr>
          <w:rFonts w:hint="eastAsia"/>
        </w:rPr>
        <w:t>1</w:t>
      </w:r>
      <w:r w:rsidRPr="00E75613">
        <w:rPr>
          <w:rFonts w:hint="eastAsia"/>
        </w:rPr>
        <w:t>。</w:t>
      </w:r>
    </w:p>
  </w:footnote>
  <w:footnote w:id="2">
    <w:p w:rsidR="00223621" w:rsidRDefault="00223621" w:rsidP="00223621">
      <w:pPr>
        <w:pStyle w:val="142"/>
        <w:jc w:val="both"/>
        <w:rPr>
          <w:rFonts w:hint="eastAsia"/>
        </w:rPr>
      </w:pPr>
      <w:r>
        <w:rPr>
          <w:rStyle w:val="aff0"/>
        </w:rPr>
        <w:footnoteRef/>
      </w:r>
      <w:r>
        <w:t xml:space="preserve"> </w:t>
      </w:r>
      <w:r>
        <w:rPr>
          <w:rFonts w:hint="eastAsia"/>
        </w:rPr>
        <w:t>各國港口貨櫃裝卸量及排名之資料為港務公司提供。</w:t>
      </w:r>
    </w:p>
  </w:footnote>
  <w:footnote w:id="3">
    <w:p w:rsidR="00337C50" w:rsidRPr="00337C50" w:rsidRDefault="00337C50" w:rsidP="00337C50">
      <w:pPr>
        <w:pStyle w:val="142"/>
        <w:jc w:val="both"/>
        <w:rPr>
          <w:rFonts w:hint="eastAsia"/>
        </w:rPr>
      </w:pPr>
      <w:r>
        <w:rPr>
          <w:rStyle w:val="aff0"/>
        </w:rPr>
        <w:footnoteRef/>
      </w:r>
      <w:r>
        <w:rPr>
          <w:rFonts w:hint="eastAsia"/>
        </w:rPr>
        <w:t xml:space="preserve"> 詢據港務公司表示，</w:t>
      </w:r>
      <w:r w:rsidRPr="00337C50">
        <w:rPr>
          <w:rFonts w:hint="eastAsia"/>
        </w:rPr>
        <w:t>預計111年4月底完成帷幕單元、旅客橋設備2座及其餘工項如水電、空調及室內裝修等；111年6月底取得旅運設施使用執照。</w:t>
      </w:r>
      <w:r w:rsidR="0005360B">
        <w:rPr>
          <w:rFonts w:hint="eastAsia"/>
        </w:rPr>
        <w:t>資料日期：111年2月1</w:t>
      </w:r>
      <w:r w:rsidR="0005360B">
        <w:t>7</w:t>
      </w:r>
      <w:r w:rsidR="0005360B">
        <w:rPr>
          <w:rFonts w:hint="eastAsia"/>
        </w:rPr>
        <w:t>日。</w:t>
      </w:r>
    </w:p>
  </w:footnote>
  <w:footnote w:id="4">
    <w:p w:rsidR="00C017DD" w:rsidRPr="00A61E40" w:rsidRDefault="00C017DD" w:rsidP="00DB32D0">
      <w:pPr>
        <w:pStyle w:val="142"/>
        <w:ind w:left="568" w:hanging="568"/>
        <w:jc w:val="both"/>
        <w:rPr>
          <w:rFonts w:hint="eastAsia"/>
        </w:rPr>
      </w:pPr>
      <w:r>
        <w:rPr>
          <w:rStyle w:val="aff0"/>
        </w:rPr>
        <w:footnoteRef/>
      </w:r>
      <w:r>
        <w:t xml:space="preserve"> </w:t>
      </w:r>
      <w:r>
        <w:rPr>
          <w:rFonts w:hint="eastAsia"/>
        </w:rPr>
        <w:t>係為發展離岸風電業務。</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259" w:rsidRDefault="00487259" w:rsidP="00064A63">
    <w:pPr>
      <w:framePr w:w="1440" w:hSpace="1276" w:wrap="around" w:vAnchor="text" w:hAnchor="margin" w:xAlign="right" w:y="1"/>
      <w:ind w:left="560" w:firstLine="560"/>
      <w:textDirection w:val="btLr"/>
    </w:pPr>
    <w:r>
      <w:fldChar w:fldCharType="begin"/>
    </w:r>
    <w:r>
      <w:instrText xml:space="preserve">PAGE  </w:instrText>
    </w:r>
    <w:r>
      <w:fldChar w:fldCharType="end"/>
    </w:r>
  </w:p>
  <w:p w:rsidR="00487259" w:rsidRDefault="00487259" w:rsidP="00A327E1">
    <w:pPr>
      <w:ind w:left="560" w:rightChars="129" w:right="361" w:firstLine="5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259" w:rsidRDefault="00487259" w:rsidP="00A327E1">
    <w:pPr>
      <w:ind w:leftChars="0" w:left="560" w:rightChars="129" w:right="361" w:hangingChars="200" w:hanging="560"/>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259" w:rsidRDefault="00487259" w:rsidP="00A327E1">
    <w:pPr>
      <w:pStyle w:val="afa"/>
      <w:ind w:left="560" w:rightChars="131" w:right="367" w:firstLine="4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CD0EC5"/>
    <w:multiLevelType w:val="hybridMultilevel"/>
    <w:tmpl w:val="063A1B52"/>
    <w:lvl w:ilvl="0" w:tplc="1E6C59BC">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nsid w:val="53757F9D"/>
    <w:multiLevelType w:val="hybridMultilevel"/>
    <w:tmpl w:val="92428FB8"/>
    <w:lvl w:ilvl="0" w:tplc="22581308">
      <w:numFmt w:val="bullet"/>
      <w:lvlText w:val="※"/>
      <w:lvlJc w:val="left"/>
      <w:pPr>
        <w:tabs>
          <w:tab w:val="num" w:pos="642"/>
        </w:tabs>
        <w:ind w:left="642" w:hanging="360"/>
      </w:pPr>
      <w:rPr>
        <w:rFonts w:ascii="標楷體" w:eastAsia="標楷體" w:hAnsi="標楷體" w:cs="Times New Roman" w:hint="eastAsia"/>
      </w:rPr>
    </w:lvl>
    <w:lvl w:ilvl="1" w:tplc="04090003" w:tentative="1">
      <w:start w:val="1"/>
      <w:numFmt w:val="bullet"/>
      <w:lvlText w:val=""/>
      <w:lvlJc w:val="left"/>
      <w:pPr>
        <w:tabs>
          <w:tab w:val="num" w:pos="1242"/>
        </w:tabs>
        <w:ind w:left="1242" w:hanging="480"/>
      </w:pPr>
      <w:rPr>
        <w:rFonts w:ascii="Wingdings" w:hAnsi="Wingdings" w:hint="default"/>
      </w:rPr>
    </w:lvl>
    <w:lvl w:ilvl="2" w:tplc="04090005" w:tentative="1">
      <w:start w:val="1"/>
      <w:numFmt w:val="bullet"/>
      <w:lvlText w:val=""/>
      <w:lvlJc w:val="left"/>
      <w:pPr>
        <w:tabs>
          <w:tab w:val="num" w:pos="1722"/>
        </w:tabs>
        <w:ind w:left="1722" w:hanging="480"/>
      </w:pPr>
      <w:rPr>
        <w:rFonts w:ascii="Wingdings" w:hAnsi="Wingdings" w:hint="default"/>
      </w:rPr>
    </w:lvl>
    <w:lvl w:ilvl="3" w:tplc="04090001" w:tentative="1">
      <w:start w:val="1"/>
      <w:numFmt w:val="bullet"/>
      <w:lvlText w:val=""/>
      <w:lvlJc w:val="left"/>
      <w:pPr>
        <w:tabs>
          <w:tab w:val="num" w:pos="2202"/>
        </w:tabs>
        <w:ind w:left="2202" w:hanging="480"/>
      </w:pPr>
      <w:rPr>
        <w:rFonts w:ascii="Wingdings" w:hAnsi="Wingdings" w:hint="default"/>
      </w:rPr>
    </w:lvl>
    <w:lvl w:ilvl="4" w:tplc="04090003" w:tentative="1">
      <w:start w:val="1"/>
      <w:numFmt w:val="bullet"/>
      <w:lvlText w:val=""/>
      <w:lvlJc w:val="left"/>
      <w:pPr>
        <w:tabs>
          <w:tab w:val="num" w:pos="2682"/>
        </w:tabs>
        <w:ind w:left="2682" w:hanging="480"/>
      </w:pPr>
      <w:rPr>
        <w:rFonts w:ascii="Wingdings" w:hAnsi="Wingdings" w:hint="default"/>
      </w:rPr>
    </w:lvl>
    <w:lvl w:ilvl="5" w:tplc="04090005" w:tentative="1">
      <w:start w:val="1"/>
      <w:numFmt w:val="bullet"/>
      <w:lvlText w:val=""/>
      <w:lvlJc w:val="left"/>
      <w:pPr>
        <w:tabs>
          <w:tab w:val="num" w:pos="3162"/>
        </w:tabs>
        <w:ind w:left="3162" w:hanging="480"/>
      </w:pPr>
      <w:rPr>
        <w:rFonts w:ascii="Wingdings" w:hAnsi="Wingdings" w:hint="default"/>
      </w:rPr>
    </w:lvl>
    <w:lvl w:ilvl="6" w:tplc="04090001" w:tentative="1">
      <w:start w:val="1"/>
      <w:numFmt w:val="bullet"/>
      <w:lvlText w:val=""/>
      <w:lvlJc w:val="left"/>
      <w:pPr>
        <w:tabs>
          <w:tab w:val="num" w:pos="3642"/>
        </w:tabs>
        <w:ind w:left="3642" w:hanging="480"/>
      </w:pPr>
      <w:rPr>
        <w:rFonts w:ascii="Wingdings" w:hAnsi="Wingdings" w:hint="default"/>
      </w:rPr>
    </w:lvl>
    <w:lvl w:ilvl="7" w:tplc="04090003" w:tentative="1">
      <w:start w:val="1"/>
      <w:numFmt w:val="bullet"/>
      <w:lvlText w:val=""/>
      <w:lvlJc w:val="left"/>
      <w:pPr>
        <w:tabs>
          <w:tab w:val="num" w:pos="4122"/>
        </w:tabs>
        <w:ind w:left="4122" w:hanging="480"/>
      </w:pPr>
      <w:rPr>
        <w:rFonts w:ascii="Wingdings" w:hAnsi="Wingdings" w:hint="default"/>
      </w:rPr>
    </w:lvl>
    <w:lvl w:ilvl="8" w:tplc="04090005" w:tentative="1">
      <w:start w:val="1"/>
      <w:numFmt w:val="bullet"/>
      <w:lvlText w:val=""/>
      <w:lvlJc w:val="left"/>
      <w:pPr>
        <w:tabs>
          <w:tab w:val="num" w:pos="4602"/>
        </w:tabs>
        <w:ind w:left="4602" w:hanging="480"/>
      </w:pPr>
      <w:rPr>
        <w:rFonts w:ascii="Wingdings" w:hAnsi="Wingdings" w:hint="default"/>
      </w:rPr>
    </w:lvl>
  </w:abstractNum>
  <w:abstractNum w:abstractNumId="2">
    <w:nsid w:val="5B076710"/>
    <w:multiLevelType w:val="hybridMultilevel"/>
    <w:tmpl w:val="1DFE1AEC"/>
    <w:lvl w:ilvl="0" w:tplc="1148732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7B9E3766"/>
    <w:multiLevelType w:val="hybridMultilevel"/>
    <w:tmpl w:val="EDC2DA9A"/>
    <w:lvl w:ilvl="0" w:tplc="9B5EE2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3C64"/>
    <w:rsid w:val="00001F7D"/>
    <w:rsid w:val="00002D2F"/>
    <w:rsid w:val="00003B85"/>
    <w:rsid w:val="00003F1A"/>
    <w:rsid w:val="00004C72"/>
    <w:rsid w:val="000064C2"/>
    <w:rsid w:val="00006D0D"/>
    <w:rsid w:val="00007DC1"/>
    <w:rsid w:val="00012F20"/>
    <w:rsid w:val="00013329"/>
    <w:rsid w:val="000134C9"/>
    <w:rsid w:val="000136A9"/>
    <w:rsid w:val="00014113"/>
    <w:rsid w:val="000143EB"/>
    <w:rsid w:val="000146C3"/>
    <w:rsid w:val="00015266"/>
    <w:rsid w:val="00015D82"/>
    <w:rsid w:val="000161DF"/>
    <w:rsid w:val="00016614"/>
    <w:rsid w:val="00016713"/>
    <w:rsid w:val="0001708B"/>
    <w:rsid w:val="0001757D"/>
    <w:rsid w:val="00017ABF"/>
    <w:rsid w:val="00017C89"/>
    <w:rsid w:val="000221B3"/>
    <w:rsid w:val="00022F13"/>
    <w:rsid w:val="00024270"/>
    <w:rsid w:val="00024378"/>
    <w:rsid w:val="00025FDB"/>
    <w:rsid w:val="00026E7E"/>
    <w:rsid w:val="0003138B"/>
    <w:rsid w:val="000313F1"/>
    <w:rsid w:val="00031535"/>
    <w:rsid w:val="0003237E"/>
    <w:rsid w:val="000341A6"/>
    <w:rsid w:val="000345DB"/>
    <w:rsid w:val="00034F2C"/>
    <w:rsid w:val="00036B32"/>
    <w:rsid w:val="00036D6C"/>
    <w:rsid w:val="00036E5B"/>
    <w:rsid w:val="000375D1"/>
    <w:rsid w:val="00037D49"/>
    <w:rsid w:val="00037D8B"/>
    <w:rsid w:val="0004060E"/>
    <w:rsid w:val="00041465"/>
    <w:rsid w:val="00041742"/>
    <w:rsid w:val="00041A22"/>
    <w:rsid w:val="000422A9"/>
    <w:rsid w:val="00042F71"/>
    <w:rsid w:val="000431C7"/>
    <w:rsid w:val="00043A73"/>
    <w:rsid w:val="00046766"/>
    <w:rsid w:val="0004688F"/>
    <w:rsid w:val="00046FE8"/>
    <w:rsid w:val="00047763"/>
    <w:rsid w:val="00051F43"/>
    <w:rsid w:val="00052019"/>
    <w:rsid w:val="00053289"/>
    <w:rsid w:val="0005360B"/>
    <w:rsid w:val="0005382E"/>
    <w:rsid w:val="0005397C"/>
    <w:rsid w:val="00053B8D"/>
    <w:rsid w:val="0005405D"/>
    <w:rsid w:val="00055363"/>
    <w:rsid w:val="0005627D"/>
    <w:rsid w:val="000564C8"/>
    <w:rsid w:val="0005707F"/>
    <w:rsid w:val="00061393"/>
    <w:rsid w:val="00062E2A"/>
    <w:rsid w:val="000630DB"/>
    <w:rsid w:val="000635AD"/>
    <w:rsid w:val="00063BF9"/>
    <w:rsid w:val="0006429E"/>
    <w:rsid w:val="0006436C"/>
    <w:rsid w:val="000644E3"/>
    <w:rsid w:val="00064868"/>
    <w:rsid w:val="00064933"/>
    <w:rsid w:val="00064A63"/>
    <w:rsid w:val="00066467"/>
    <w:rsid w:val="000711D2"/>
    <w:rsid w:val="000716D8"/>
    <w:rsid w:val="00071E1B"/>
    <w:rsid w:val="0007211D"/>
    <w:rsid w:val="000731E7"/>
    <w:rsid w:val="00073D92"/>
    <w:rsid w:val="00075150"/>
    <w:rsid w:val="00075D6D"/>
    <w:rsid w:val="00076C22"/>
    <w:rsid w:val="00077501"/>
    <w:rsid w:val="00080782"/>
    <w:rsid w:val="00080B22"/>
    <w:rsid w:val="00081FE5"/>
    <w:rsid w:val="00082092"/>
    <w:rsid w:val="00082B42"/>
    <w:rsid w:val="00082CFC"/>
    <w:rsid w:val="00083607"/>
    <w:rsid w:val="000859CA"/>
    <w:rsid w:val="0008761B"/>
    <w:rsid w:val="00090527"/>
    <w:rsid w:val="00090991"/>
    <w:rsid w:val="00090EBC"/>
    <w:rsid w:val="000924C3"/>
    <w:rsid w:val="0009448C"/>
    <w:rsid w:val="00094C49"/>
    <w:rsid w:val="00097365"/>
    <w:rsid w:val="000975E7"/>
    <w:rsid w:val="00097882"/>
    <w:rsid w:val="00097C2D"/>
    <w:rsid w:val="000A052C"/>
    <w:rsid w:val="000A1ABB"/>
    <w:rsid w:val="000A2FE3"/>
    <w:rsid w:val="000A3243"/>
    <w:rsid w:val="000A3B84"/>
    <w:rsid w:val="000A472A"/>
    <w:rsid w:val="000A533A"/>
    <w:rsid w:val="000A54D3"/>
    <w:rsid w:val="000A55D4"/>
    <w:rsid w:val="000A61F2"/>
    <w:rsid w:val="000A7533"/>
    <w:rsid w:val="000B066C"/>
    <w:rsid w:val="000B1D3E"/>
    <w:rsid w:val="000B3A6F"/>
    <w:rsid w:val="000B4B46"/>
    <w:rsid w:val="000B4CF2"/>
    <w:rsid w:val="000B5270"/>
    <w:rsid w:val="000B553B"/>
    <w:rsid w:val="000B69EA"/>
    <w:rsid w:val="000B6BEE"/>
    <w:rsid w:val="000B7BE6"/>
    <w:rsid w:val="000B7F0F"/>
    <w:rsid w:val="000C0944"/>
    <w:rsid w:val="000C13F9"/>
    <w:rsid w:val="000C1C0A"/>
    <w:rsid w:val="000C28C6"/>
    <w:rsid w:val="000C3689"/>
    <w:rsid w:val="000C4A9A"/>
    <w:rsid w:val="000C4E1A"/>
    <w:rsid w:val="000C5B70"/>
    <w:rsid w:val="000C65DE"/>
    <w:rsid w:val="000C6C8F"/>
    <w:rsid w:val="000D0B04"/>
    <w:rsid w:val="000D0C9F"/>
    <w:rsid w:val="000D26D4"/>
    <w:rsid w:val="000D3A73"/>
    <w:rsid w:val="000D6C7B"/>
    <w:rsid w:val="000E0318"/>
    <w:rsid w:val="000E036B"/>
    <w:rsid w:val="000E13EA"/>
    <w:rsid w:val="000E1C52"/>
    <w:rsid w:val="000E254C"/>
    <w:rsid w:val="000E2721"/>
    <w:rsid w:val="000E2AD3"/>
    <w:rsid w:val="000E3627"/>
    <w:rsid w:val="000E54DA"/>
    <w:rsid w:val="000E5622"/>
    <w:rsid w:val="000E5B4B"/>
    <w:rsid w:val="000E60C2"/>
    <w:rsid w:val="000E742D"/>
    <w:rsid w:val="000E7AC9"/>
    <w:rsid w:val="000F17D5"/>
    <w:rsid w:val="000F20BC"/>
    <w:rsid w:val="000F2B31"/>
    <w:rsid w:val="000F2D09"/>
    <w:rsid w:val="000F2F89"/>
    <w:rsid w:val="000F33AC"/>
    <w:rsid w:val="000F4A05"/>
    <w:rsid w:val="000F4AB7"/>
    <w:rsid w:val="000F6AB7"/>
    <w:rsid w:val="000F6D63"/>
    <w:rsid w:val="001004A7"/>
    <w:rsid w:val="001004AD"/>
    <w:rsid w:val="00101FCB"/>
    <w:rsid w:val="0010288F"/>
    <w:rsid w:val="001044D7"/>
    <w:rsid w:val="001048EB"/>
    <w:rsid w:val="00104B78"/>
    <w:rsid w:val="00104DE8"/>
    <w:rsid w:val="00104F98"/>
    <w:rsid w:val="0010648F"/>
    <w:rsid w:val="001066A2"/>
    <w:rsid w:val="00107058"/>
    <w:rsid w:val="001079F7"/>
    <w:rsid w:val="001112C9"/>
    <w:rsid w:val="001128F3"/>
    <w:rsid w:val="00112BA7"/>
    <w:rsid w:val="00113D29"/>
    <w:rsid w:val="00115173"/>
    <w:rsid w:val="00115AC1"/>
    <w:rsid w:val="00115DA9"/>
    <w:rsid w:val="00117305"/>
    <w:rsid w:val="00117510"/>
    <w:rsid w:val="00117756"/>
    <w:rsid w:val="0012048E"/>
    <w:rsid w:val="0012068D"/>
    <w:rsid w:val="00120BDF"/>
    <w:rsid w:val="00121216"/>
    <w:rsid w:val="00122B37"/>
    <w:rsid w:val="00122BB4"/>
    <w:rsid w:val="00124580"/>
    <w:rsid w:val="00124826"/>
    <w:rsid w:val="001270BA"/>
    <w:rsid w:val="001279AD"/>
    <w:rsid w:val="00134DB1"/>
    <w:rsid w:val="0013513F"/>
    <w:rsid w:val="001363A5"/>
    <w:rsid w:val="00137A09"/>
    <w:rsid w:val="00137F9D"/>
    <w:rsid w:val="0014022A"/>
    <w:rsid w:val="0014057D"/>
    <w:rsid w:val="00140617"/>
    <w:rsid w:val="00143B5A"/>
    <w:rsid w:val="00143FAA"/>
    <w:rsid w:val="00143FE7"/>
    <w:rsid w:val="00144272"/>
    <w:rsid w:val="0014535C"/>
    <w:rsid w:val="00146B6F"/>
    <w:rsid w:val="00146FE2"/>
    <w:rsid w:val="001471FA"/>
    <w:rsid w:val="00150226"/>
    <w:rsid w:val="00150267"/>
    <w:rsid w:val="00150F66"/>
    <w:rsid w:val="001524EF"/>
    <w:rsid w:val="00153ACF"/>
    <w:rsid w:val="001550F5"/>
    <w:rsid w:val="001555CD"/>
    <w:rsid w:val="00155A9D"/>
    <w:rsid w:val="00156BB1"/>
    <w:rsid w:val="00157086"/>
    <w:rsid w:val="001600BA"/>
    <w:rsid w:val="00160DB7"/>
    <w:rsid w:val="00160DE5"/>
    <w:rsid w:val="00161093"/>
    <w:rsid w:val="00161C84"/>
    <w:rsid w:val="001620B7"/>
    <w:rsid w:val="00163352"/>
    <w:rsid w:val="001644B5"/>
    <w:rsid w:val="001649F1"/>
    <w:rsid w:val="00167748"/>
    <w:rsid w:val="00167F57"/>
    <w:rsid w:val="00170156"/>
    <w:rsid w:val="00170F5F"/>
    <w:rsid w:val="001713F4"/>
    <w:rsid w:val="0017393C"/>
    <w:rsid w:val="001746E3"/>
    <w:rsid w:val="001757D1"/>
    <w:rsid w:val="00175F92"/>
    <w:rsid w:val="00176FDB"/>
    <w:rsid w:val="00177FEB"/>
    <w:rsid w:val="00181BCE"/>
    <w:rsid w:val="00181EBD"/>
    <w:rsid w:val="00182CD1"/>
    <w:rsid w:val="00184CB5"/>
    <w:rsid w:val="0018546E"/>
    <w:rsid w:val="0018565E"/>
    <w:rsid w:val="00185E5B"/>
    <w:rsid w:val="001861BD"/>
    <w:rsid w:val="00187045"/>
    <w:rsid w:val="001870DB"/>
    <w:rsid w:val="001872FB"/>
    <w:rsid w:val="001873FE"/>
    <w:rsid w:val="00190322"/>
    <w:rsid w:val="00190360"/>
    <w:rsid w:val="0019096A"/>
    <w:rsid w:val="00191F93"/>
    <w:rsid w:val="0019269A"/>
    <w:rsid w:val="00192A7A"/>
    <w:rsid w:val="00192B30"/>
    <w:rsid w:val="0019524F"/>
    <w:rsid w:val="00196727"/>
    <w:rsid w:val="00196A9A"/>
    <w:rsid w:val="001A0136"/>
    <w:rsid w:val="001A05BC"/>
    <w:rsid w:val="001A07D5"/>
    <w:rsid w:val="001A1BB1"/>
    <w:rsid w:val="001A2121"/>
    <w:rsid w:val="001A2972"/>
    <w:rsid w:val="001A31AB"/>
    <w:rsid w:val="001A43C1"/>
    <w:rsid w:val="001A59BD"/>
    <w:rsid w:val="001A6AA8"/>
    <w:rsid w:val="001A7730"/>
    <w:rsid w:val="001A7B5F"/>
    <w:rsid w:val="001B0799"/>
    <w:rsid w:val="001B0938"/>
    <w:rsid w:val="001B1647"/>
    <w:rsid w:val="001B4051"/>
    <w:rsid w:val="001B46C9"/>
    <w:rsid w:val="001B4C6E"/>
    <w:rsid w:val="001B4DCE"/>
    <w:rsid w:val="001C0178"/>
    <w:rsid w:val="001C2E51"/>
    <w:rsid w:val="001C3C64"/>
    <w:rsid w:val="001C445B"/>
    <w:rsid w:val="001C5AA4"/>
    <w:rsid w:val="001C611D"/>
    <w:rsid w:val="001C727B"/>
    <w:rsid w:val="001D05EB"/>
    <w:rsid w:val="001D2B1F"/>
    <w:rsid w:val="001D358C"/>
    <w:rsid w:val="001D404A"/>
    <w:rsid w:val="001D404B"/>
    <w:rsid w:val="001D4A48"/>
    <w:rsid w:val="001D4FF6"/>
    <w:rsid w:val="001D73BC"/>
    <w:rsid w:val="001E00C3"/>
    <w:rsid w:val="001E0645"/>
    <w:rsid w:val="001E0AD2"/>
    <w:rsid w:val="001E1392"/>
    <w:rsid w:val="001E17E1"/>
    <w:rsid w:val="001E29B9"/>
    <w:rsid w:val="001E579B"/>
    <w:rsid w:val="001E57E5"/>
    <w:rsid w:val="001E6080"/>
    <w:rsid w:val="001E6B1F"/>
    <w:rsid w:val="001E7A61"/>
    <w:rsid w:val="001F0E4E"/>
    <w:rsid w:val="001F1DDD"/>
    <w:rsid w:val="001F2AF2"/>
    <w:rsid w:val="001F437D"/>
    <w:rsid w:val="001F5229"/>
    <w:rsid w:val="001F53EA"/>
    <w:rsid w:val="001F695F"/>
    <w:rsid w:val="001F6C40"/>
    <w:rsid w:val="00200651"/>
    <w:rsid w:val="0020116B"/>
    <w:rsid w:val="002015CE"/>
    <w:rsid w:val="00202954"/>
    <w:rsid w:val="00202BDE"/>
    <w:rsid w:val="00203201"/>
    <w:rsid w:val="00203A5E"/>
    <w:rsid w:val="0020427C"/>
    <w:rsid w:val="00204CA7"/>
    <w:rsid w:val="00204E6F"/>
    <w:rsid w:val="002052C0"/>
    <w:rsid w:val="002057B1"/>
    <w:rsid w:val="00205EB2"/>
    <w:rsid w:val="002072C4"/>
    <w:rsid w:val="00207469"/>
    <w:rsid w:val="00207904"/>
    <w:rsid w:val="00207F41"/>
    <w:rsid w:val="00210193"/>
    <w:rsid w:val="0021083E"/>
    <w:rsid w:val="00210A07"/>
    <w:rsid w:val="00211282"/>
    <w:rsid w:val="00212568"/>
    <w:rsid w:val="00213D01"/>
    <w:rsid w:val="00214225"/>
    <w:rsid w:val="002161BF"/>
    <w:rsid w:val="00216252"/>
    <w:rsid w:val="0021722E"/>
    <w:rsid w:val="0021799A"/>
    <w:rsid w:val="00217CF5"/>
    <w:rsid w:val="002203F9"/>
    <w:rsid w:val="00220E4E"/>
    <w:rsid w:val="00220E53"/>
    <w:rsid w:val="00221092"/>
    <w:rsid w:val="00221108"/>
    <w:rsid w:val="0022139D"/>
    <w:rsid w:val="002224A2"/>
    <w:rsid w:val="00222BF4"/>
    <w:rsid w:val="002232BD"/>
    <w:rsid w:val="00223458"/>
    <w:rsid w:val="00223621"/>
    <w:rsid w:val="00223AF0"/>
    <w:rsid w:val="00223D5E"/>
    <w:rsid w:val="00223E58"/>
    <w:rsid w:val="0022550C"/>
    <w:rsid w:val="0022550D"/>
    <w:rsid w:val="0022571A"/>
    <w:rsid w:val="00225A3D"/>
    <w:rsid w:val="00225C58"/>
    <w:rsid w:val="00225E3D"/>
    <w:rsid w:val="00226198"/>
    <w:rsid w:val="00226453"/>
    <w:rsid w:val="00226554"/>
    <w:rsid w:val="00226A63"/>
    <w:rsid w:val="00226CC7"/>
    <w:rsid w:val="00226CF6"/>
    <w:rsid w:val="00227568"/>
    <w:rsid w:val="0022782E"/>
    <w:rsid w:val="00227C2C"/>
    <w:rsid w:val="002300AC"/>
    <w:rsid w:val="00230B99"/>
    <w:rsid w:val="002313BA"/>
    <w:rsid w:val="00233623"/>
    <w:rsid w:val="00235811"/>
    <w:rsid w:val="00236B23"/>
    <w:rsid w:val="00236DE6"/>
    <w:rsid w:val="00240522"/>
    <w:rsid w:val="0024089C"/>
    <w:rsid w:val="00240955"/>
    <w:rsid w:val="00241493"/>
    <w:rsid w:val="00241702"/>
    <w:rsid w:val="00241BDE"/>
    <w:rsid w:val="00242266"/>
    <w:rsid w:val="002432FB"/>
    <w:rsid w:val="002433D9"/>
    <w:rsid w:val="00244295"/>
    <w:rsid w:val="00244733"/>
    <w:rsid w:val="0024608F"/>
    <w:rsid w:val="002467B0"/>
    <w:rsid w:val="002501F5"/>
    <w:rsid w:val="002521C9"/>
    <w:rsid w:val="0025330C"/>
    <w:rsid w:val="00253B7E"/>
    <w:rsid w:val="00254285"/>
    <w:rsid w:val="00256ACF"/>
    <w:rsid w:val="002576A8"/>
    <w:rsid w:val="002576EA"/>
    <w:rsid w:val="00257987"/>
    <w:rsid w:val="00257B7A"/>
    <w:rsid w:val="0026036C"/>
    <w:rsid w:val="002609DB"/>
    <w:rsid w:val="002610BB"/>
    <w:rsid w:val="0026125A"/>
    <w:rsid w:val="002616C3"/>
    <w:rsid w:val="00261A62"/>
    <w:rsid w:val="00261BE0"/>
    <w:rsid w:val="00261E1F"/>
    <w:rsid w:val="002634CD"/>
    <w:rsid w:val="00265A88"/>
    <w:rsid w:val="00266C3B"/>
    <w:rsid w:val="00272C6A"/>
    <w:rsid w:val="002742B0"/>
    <w:rsid w:val="00274516"/>
    <w:rsid w:val="00274B69"/>
    <w:rsid w:val="00275B60"/>
    <w:rsid w:val="00275FDE"/>
    <w:rsid w:val="00276A38"/>
    <w:rsid w:val="0028199F"/>
    <w:rsid w:val="00281A0C"/>
    <w:rsid w:val="00281BA1"/>
    <w:rsid w:val="00282529"/>
    <w:rsid w:val="00282B01"/>
    <w:rsid w:val="002860CF"/>
    <w:rsid w:val="00287225"/>
    <w:rsid w:val="00290795"/>
    <w:rsid w:val="002909FA"/>
    <w:rsid w:val="00291044"/>
    <w:rsid w:val="0029225B"/>
    <w:rsid w:val="0029344D"/>
    <w:rsid w:val="00293920"/>
    <w:rsid w:val="00295013"/>
    <w:rsid w:val="00296FEF"/>
    <w:rsid w:val="002971DC"/>
    <w:rsid w:val="002978DD"/>
    <w:rsid w:val="002A0502"/>
    <w:rsid w:val="002A0D1A"/>
    <w:rsid w:val="002A162C"/>
    <w:rsid w:val="002A258A"/>
    <w:rsid w:val="002A2DF3"/>
    <w:rsid w:val="002A3246"/>
    <w:rsid w:val="002A35DF"/>
    <w:rsid w:val="002A3C51"/>
    <w:rsid w:val="002A4D2F"/>
    <w:rsid w:val="002A5932"/>
    <w:rsid w:val="002A6335"/>
    <w:rsid w:val="002B0611"/>
    <w:rsid w:val="002B0D46"/>
    <w:rsid w:val="002B1E9E"/>
    <w:rsid w:val="002B2875"/>
    <w:rsid w:val="002B385D"/>
    <w:rsid w:val="002B44A1"/>
    <w:rsid w:val="002B451E"/>
    <w:rsid w:val="002B6815"/>
    <w:rsid w:val="002B6E87"/>
    <w:rsid w:val="002B759C"/>
    <w:rsid w:val="002C0AF8"/>
    <w:rsid w:val="002C245C"/>
    <w:rsid w:val="002C2AD2"/>
    <w:rsid w:val="002C2E57"/>
    <w:rsid w:val="002C38F7"/>
    <w:rsid w:val="002C4CBC"/>
    <w:rsid w:val="002C53BE"/>
    <w:rsid w:val="002C5550"/>
    <w:rsid w:val="002C5793"/>
    <w:rsid w:val="002C6817"/>
    <w:rsid w:val="002C6ED3"/>
    <w:rsid w:val="002C708F"/>
    <w:rsid w:val="002C78C1"/>
    <w:rsid w:val="002D0313"/>
    <w:rsid w:val="002D0542"/>
    <w:rsid w:val="002D1326"/>
    <w:rsid w:val="002D1E26"/>
    <w:rsid w:val="002D20F5"/>
    <w:rsid w:val="002D2DC5"/>
    <w:rsid w:val="002D3734"/>
    <w:rsid w:val="002D3775"/>
    <w:rsid w:val="002D469C"/>
    <w:rsid w:val="002D4ADC"/>
    <w:rsid w:val="002D5BCA"/>
    <w:rsid w:val="002D6977"/>
    <w:rsid w:val="002D6BD1"/>
    <w:rsid w:val="002D7873"/>
    <w:rsid w:val="002D7ED3"/>
    <w:rsid w:val="002E1959"/>
    <w:rsid w:val="002E1D36"/>
    <w:rsid w:val="002E2E0A"/>
    <w:rsid w:val="002E322C"/>
    <w:rsid w:val="002E3533"/>
    <w:rsid w:val="002E3D6B"/>
    <w:rsid w:val="002E42A2"/>
    <w:rsid w:val="002E518C"/>
    <w:rsid w:val="002F085B"/>
    <w:rsid w:val="002F0B09"/>
    <w:rsid w:val="002F0B28"/>
    <w:rsid w:val="002F0B60"/>
    <w:rsid w:val="002F0DA0"/>
    <w:rsid w:val="002F14A3"/>
    <w:rsid w:val="002F2151"/>
    <w:rsid w:val="002F293C"/>
    <w:rsid w:val="002F2C1B"/>
    <w:rsid w:val="002F4E0C"/>
    <w:rsid w:val="002F55D1"/>
    <w:rsid w:val="002F588F"/>
    <w:rsid w:val="002F5E45"/>
    <w:rsid w:val="002F6947"/>
    <w:rsid w:val="002F7A6F"/>
    <w:rsid w:val="003006F1"/>
    <w:rsid w:val="003014F8"/>
    <w:rsid w:val="00301616"/>
    <w:rsid w:val="00302581"/>
    <w:rsid w:val="0030268C"/>
    <w:rsid w:val="00302B0F"/>
    <w:rsid w:val="0030406A"/>
    <w:rsid w:val="00305CA8"/>
    <w:rsid w:val="00306524"/>
    <w:rsid w:val="0030739A"/>
    <w:rsid w:val="003074C4"/>
    <w:rsid w:val="0031086E"/>
    <w:rsid w:val="00310ABC"/>
    <w:rsid w:val="00310B94"/>
    <w:rsid w:val="0031209A"/>
    <w:rsid w:val="00312570"/>
    <w:rsid w:val="00313F9F"/>
    <w:rsid w:val="003151B7"/>
    <w:rsid w:val="003156E4"/>
    <w:rsid w:val="003175EA"/>
    <w:rsid w:val="00321497"/>
    <w:rsid w:val="00321D1B"/>
    <w:rsid w:val="00321E4A"/>
    <w:rsid w:val="00321E7C"/>
    <w:rsid w:val="0032203D"/>
    <w:rsid w:val="0032248C"/>
    <w:rsid w:val="00322D4C"/>
    <w:rsid w:val="00322DB9"/>
    <w:rsid w:val="003239D1"/>
    <w:rsid w:val="003246B4"/>
    <w:rsid w:val="00325FFD"/>
    <w:rsid w:val="003272CA"/>
    <w:rsid w:val="003274E8"/>
    <w:rsid w:val="003276BA"/>
    <w:rsid w:val="0033014D"/>
    <w:rsid w:val="00330AC2"/>
    <w:rsid w:val="0033285A"/>
    <w:rsid w:val="00332B36"/>
    <w:rsid w:val="0033371D"/>
    <w:rsid w:val="00333C58"/>
    <w:rsid w:val="00333CE2"/>
    <w:rsid w:val="003341C9"/>
    <w:rsid w:val="00334357"/>
    <w:rsid w:val="00335286"/>
    <w:rsid w:val="00336CF4"/>
    <w:rsid w:val="0033748F"/>
    <w:rsid w:val="00337954"/>
    <w:rsid w:val="00337C50"/>
    <w:rsid w:val="00337EEC"/>
    <w:rsid w:val="0034008A"/>
    <w:rsid w:val="00340316"/>
    <w:rsid w:val="00340760"/>
    <w:rsid w:val="0034179F"/>
    <w:rsid w:val="00341A7B"/>
    <w:rsid w:val="003432C8"/>
    <w:rsid w:val="0034370F"/>
    <w:rsid w:val="00344003"/>
    <w:rsid w:val="003443EC"/>
    <w:rsid w:val="003461A2"/>
    <w:rsid w:val="00346B0D"/>
    <w:rsid w:val="00346D8F"/>
    <w:rsid w:val="00351A44"/>
    <w:rsid w:val="0035211A"/>
    <w:rsid w:val="003528CC"/>
    <w:rsid w:val="00352BAB"/>
    <w:rsid w:val="00352E87"/>
    <w:rsid w:val="00353167"/>
    <w:rsid w:val="003534CE"/>
    <w:rsid w:val="00353BCC"/>
    <w:rsid w:val="003558B5"/>
    <w:rsid w:val="00355B33"/>
    <w:rsid w:val="00355CEA"/>
    <w:rsid w:val="003566C9"/>
    <w:rsid w:val="003576DA"/>
    <w:rsid w:val="00360786"/>
    <w:rsid w:val="00360909"/>
    <w:rsid w:val="0036136D"/>
    <w:rsid w:val="00361483"/>
    <w:rsid w:val="00363AB8"/>
    <w:rsid w:val="00365558"/>
    <w:rsid w:val="00366556"/>
    <w:rsid w:val="003673FA"/>
    <w:rsid w:val="00367E2F"/>
    <w:rsid w:val="003712E2"/>
    <w:rsid w:val="00372E5D"/>
    <w:rsid w:val="00373B5F"/>
    <w:rsid w:val="00375582"/>
    <w:rsid w:val="003762F3"/>
    <w:rsid w:val="003765A5"/>
    <w:rsid w:val="00380DAA"/>
    <w:rsid w:val="003831D5"/>
    <w:rsid w:val="00384610"/>
    <w:rsid w:val="003854E6"/>
    <w:rsid w:val="003857F1"/>
    <w:rsid w:val="00386F67"/>
    <w:rsid w:val="0038704D"/>
    <w:rsid w:val="00387D49"/>
    <w:rsid w:val="00387DEF"/>
    <w:rsid w:val="003902FB"/>
    <w:rsid w:val="00390609"/>
    <w:rsid w:val="00392207"/>
    <w:rsid w:val="00393167"/>
    <w:rsid w:val="00393BBC"/>
    <w:rsid w:val="0039412A"/>
    <w:rsid w:val="0039435B"/>
    <w:rsid w:val="00395198"/>
    <w:rsid w:val="00395530"/>
    <w:rsid w:val="003A02D8"/>
    <w:rsid w:val="003A08AE"/>
    <w:rsid w:val="003A0B4F"/>
    <w:rsid w:val="003A0D40"/>
    <w:rsid w:val="003A1223"/>
    <w:rsid w:val="003A5955"/>
    <w:rsid w:val="003A5AC9"/>
    <w:rsid w:val="003A6620"/>
    <w:rsid w:val="003A70B8"/>
    <w:rsid w:val="003A7610"/>
    <w:rsid w:val="003A7866"/>
    <w:rsid w:val="003B0A3D"/>
    <w:rsid w:val="003B137F"/>
    <w:rsid w:val="003B2402"/>
    <w:rsid w:val="003B2B2E"/>
    <w:rsid w:val="003B5CD4"/>
    <w:rsid w:val="003B62AC"/>
    <w:rsid w:val="003B6C49"/>
    <w:rsid w:val="003B6E4B"/>
    <w:rsid w:val="003B7A31"/>
    <w:rsid w:val="003C0411"/>
    <w:rsid w:val="003C18C5"/>
    <w:rsid w:val="003C1D01"/>
    <w:rsid w:val="003C28D6"/>
    <w:rsid w:val="003C2900"/>
    <w:rsid w:val="003C29F1"/>
    <w:rsid w:val="003C2D0E"/>
    <w:rsid w:val="003C2E89"/>
    <w:rsid w:val="003C345A"/>
    <w:rsid w:val="003C358D"/>
    <w:rsid w:val="003C3A61"/>
    <w:rsid w:val="003C3D91"/>
    <w:rsid w:val="003C4CC9"/>
    <w:rsid w:val="003C5279"/>
    <w:rsid w:val="003C5F4F"/>
    <w:rsid w:val="003C70C0"/>
    <w:rsid w:val="003C7340"/>
    <w:rsid w:val="003C76AB"/>
    <w:rsid w:val="003C7A80"/>
    <w:rsid w:val="003C7CD4"/>
    <w:rsid w:val="003D0409"/>
    <w:rsid w:val="003D200D"/>
    <w:rsid w:val="003D2A7A"/>
    <w:rsid w:val="003D384D"/>
    <w:rsid w:val="003D49E4"/>
    <w:rsid w:val="003D5889"/>
    <w:rsid w:val="003D6C3E"/>
    <w:rsid w:val="003D6C80"/>
    <w:rsid w:val="003E1C50"/>
    <w:rsid w:val="003E274A"/>
    <w:rsid w:val="003E2948"/>
    <w:rsid w:val="003E3A31"/>
    <w:rsid w:val="003E3D58"/>
    <w:rsid w:val="003E436C"/>
    <w:rsid w:val="003E4E8F"/>
    <w:rsid w:val="003E60EE"/>
    <w:rsid w:val="003E6C8F"/>
    <w:rsid w:val="003E6CBE"/>
    <w:rsid w:val="003E6CDE"/>
    <w:rsid w:val="003E7867"/>
    <w:rsid w:val="003F07B5"/>
    <w:rsid w:val="003F1748"/>
    <w:rsid w:val="003F24E4"/>
    <w:rsid w:val="003F2B98"/>
    <w:rsid w:val="003F3A23"/>
    <w:rsid w:val="003F3AA0"/>
    <w:rsid w:val="003F3F9F"/>
    <w:rsid w:val="003F4890"/>
    <w:rsid w:val="003F4D4D"/>
    <w:rsid w:val="003F6E13"/>
    <w:rsid w:val="00400194"/>
    <w:rsid w:val="0040181A"/>
    <w:rsid w:val="00401E36"/>
    <w:rsid w:val="00404AC5"/>
    <w:rsid w:val="004053DF"/>
    <w:rsid w:val="004061DC"/>
    <w:rsid w:val="00407B34"/>
    <w:rsid w:val="00407C7D"/>
    <w:rsid w:val="00407DB6"/>
    <w:rsid w:val="00410005"/>
    <w:rsid w:val="00411C06"/>
    <w:rsid w:val="00411CC5"/>
    <w:rsid w:val="00412403"/>
    <w:rsid w:val="00412692"/>
    <w:rsid w:val="00414305"/>
    <w:rsid w:val="004150F3"/>
    <w:rsid w:val="00415299"/>
    <w:rsid w:val="00415F4A"/>
    <w:rsid w:val="00415FA7"/>
    <w:rsid w:val="004176DC"/>
    <w:rsid w:val="00417F5E"/>
    <w:rsid w:val="00421327"/>
    <w:rsid w:val="00421828"/>
    <w:rsid w:val="00422E7E"/>
    <w:rsid w:val="00422F39"/>
    <w:rsid w:val="0042325A"/>
    <w:rsid w:val="00423677"/>
    <w:rsid w:val="00423DCE"/>
    <w:rsid w:val="004245FF"/>
    <w:rsid w:val="00425766"/>
    <w:rsid w:val="00425E45"/>
    <w:rsid w:val="004264F9"/>
    <w:rsid w:val="00426900"/>
    <w:rsid w:val="004276AC"/>
    <w:rsid w:val="004277C9"/>
    <w:rsid w:val="00427E18"/>
    <w:rsid w:val="00431601"/>
    <w:rsid w:val="004321BE"/>
    <w:rsid w:val="0043244A"/>
    <w:rsid w:val="00432926"/>
    <w:rsid w:val="00433029"/>
    <w:rsid w:val="004332AB"/>
    <w:rsid w:val="00433EE2"/>
    <w:rsid w:val="004359E6"/>
    <w:rsid w:val="00436B97"/>
    <w:rsid w:val="00437027"/>
    <w:rsid w:val="00437751"/>
    <w:rsid w:val="00441629"/>
    <w:rsid w:val="00442A65"/>
    <w:rsid w:val="00443115"/>
    <w:rsid w:val="004434FF"/>
    <w:rsid w:val="004447B6"/>
    <w:rsid w:val="0044514C"/>
    <w:rsid w:val="00445693"/>
    <w:rsid w:val="004458F6"/>
    <w:rsid w:val="00445B1F"/>
    <w:rsid w:val="004462DE"/>
    <w:rsid w:val="0044762A"/>
    <w:rsid w:val="00447935"/>
    <w:rsid w:val="004520A8"/>
    <w:rsid w:val="004553EF"/>
    <w:rsid w:val="00455FC5"/>
    <w:rsid w:val="00457081"/>
    <w:rsid w:val="004574A6"/>
    <w:rsid w:val="00457CB6"/>
    <w:rsid w:val="00460596"/>
    <w:rsid w:val="004609B6"/>
    <w:rsid w:val="0046171C"/>
    <w:rsid w:val="00461F65"/>
    <w:rsid w:val="004628F6"/>
    <w:rsid w:val="00463614"/>
    <w:rsid w:val="004636A3"/>
    <w:rsid w:val="00464498"/>
    <w:rsid w:val="0046459C"/>
    <w:rsid w:val="0046594C"/>
    <w:rsid w:val="00466298"/>
    <w:rsid w:val="004678CC"/>
    <w:rsid w:val="004678F5"/>
    <w:rsid w:val="00470C67"/>
    <w:rsid w:val="00470DBE"/>
    <w:rsid w:val="004716FA"/>
    <w:rsid w:val="00472F47"/>
    <w:rsid w:val="00474C00"/>
    <w:rsid w:val="0047517C"/>
    <w:rsid w:val="0047557B"/>
    <w:rsid w:val="0047611E"/>
    <w:rsid w:val="00476749"/>
    <w:rsid w:val="004777E6"/>
    <w:rsid w:val="004814C3"/>
    <w:rsid w:val="00481A66"/>
    <w:rsid w:val="00481B61"/>
    <w:rsid w:val="00482E56"/>
    <w:rsid w:val="004830D7"/>
    <w:rsid w:val="00484317"/>
    <w:rsid w:val="0048639A"/>
    <w:rsid w:val="00487259"/>
    <w:rsid w:val="00487E4A"/>
    <w:rsid w:val="00491C76"/>
    <w:rsid w:val="004924CE"/>
    <w:rsid w:val="004925C4"/>
    <w:rsid w:val="0049260B"/>
    <w:rsid w:val="00492A11"/>
    <w:rsid w:val="00492B5B"/>
    <w:rsid w:val="00495286"/>
    <w:rsid w:val="004953B1"/>
    <w:rsid w:val="00497133"/>
    <w:rsid w:val="004976FC"/>
    <w:rsid w:val="004A0010"/>
    <w:rsid w:val="004A0AB0"/>
    <w:rsid w:val="004A118D"/>
    <w:rsid w:val="004A19A7"/>
    <w:rsid w:val="004A1E63"/>
    <w:rsid w:val="004A3CAF"/>
    <w:rsid w:val="004A4119"/>
    <w:rsid w:val="004A4B92"/>
    <w:rsid w:val="004A5C14"/>
    <w:rsid w:val="004A6E66"/>
    <w:rsid w:val="004A7204"/>
    <w:rsid w:val="004A7248"/>
    <w:rsid w:val="004B11F3"/>
    <w:rsid w:val="004B179F"/>
    <w:rsid w:val="004B1EA3"/>
    <w:rsid w:val="004B22C0"/>
    <w:rsid w:val="004B23D0"/>
    <w:rsid w:val="004B27D1"/>
    <w:rsid w:val="004B3465"/>
    <w:rsid w:val="004B5117"/>
    <w:rsid w:val="004B53FF"/>
    <w:rsid w:val="004B57AF"/>
    <w:rsid w:val="004B6D0F"/>
    <w:rsid w:val="004B798A"/>
    <w:rsid w:val="004C0CCA"/>
    <w:rsid w:val="004C0F72"/>
    <w:rsid w:val="004C3093"/>
    <w:rsid w:val="004C3344"/>
    <w:rsid w:val="004C3A63"/>
    <w:rsid w:val="004C48E2"/>
    <w:rsid w:val="004C5DE6"/>
    <w:rsid w:val="004D02A2"/>
    <w:rsid w:val="004D0808"/>
    <w:rsid w:val="004D1D69"/>
    <w:rsid w:val="004D228B"/>
    <w:rsid w:val="004D2AFC"/>
    <w:rsid w:val="004D3049"/>
    <w:rsid w:val="004D3998"/>
    <w:rsid w:val="004D4034"/>
    <w:rsid w:val="004D40BA"/>
    <w:rsid w:val="004D4924"/>
    <w:rsid w:val="004D5250"/>
    <w:rsid w:val="004D59B2"/>
    <w:rsid w:val="004D6E2F"/>
    <w:rsid w:val="004D77D4"/>
    <w:rsid w:val="004E03C7"/>
    <w:rsid w:val="004E1ACE"/>
    <w:rsid w:val="004E252B"/>
    <w:rsid w:val="004E26B2"/>
    <w:rsid w:val="004E2DDF"/>
    <w:rsid w:val="004E3AC2"/>
    <w:rsid w:val="004E4271"/>
    <w:rsid w:val="004E61C3"/>
    <w:rsid w:val="004E638A"/>
    <w:rsid w:val="004E7B0C"/>
    <w:rsid w:val="004F025A"/>
    <w:rsid w:val="004F0AB3"/>
    <w:rsid w:val="004F137B"/>
    <w:rsid w:val="004F217D"/>
    <w:rsid w:val="004F21C7"/>
    <w:rsid w:val="004F2932"/>
    <w:rsid w:val="004F3BC5"/>
    <w:rsid w:val="004F545F"/>
    <w:rsid w:val="004F609E"/>
    <w:rsid w:val="00500B6D"/>
    <w:rsid w:val="00500C14"/>
    <w:rsid w:val="00502D65"/>
    <w:rsid w:val="0050317C"/>
    <w:rsid w:val="00503B65"/>
    <w:rsid w:val="005048F0"/>
    <w:rsid w:val="00504C05"/>
    <w:rsid w:val="005063C5"/>
    <w:rsid w:val="00507974"/>
    <w:rsid w:val="00507C9D"/>
    <w:rsid w:val="0051179C"/>
    <w:rsid w:val="005118FF"/>
    <w:rsid w:val="00512327"/>
    <w:rsid w:val="00512C34"/>
    <w:rsid w:val="00513333"/>
    <w:rsid w:val="00513B17"/>
    <w:rsid w:val="00513B4C"/>
    <w:rsid w:val="00513C54"/>
    <w:rsid w:val="0051533D"/>
    <w:rsid w:val="00515A66"/>
    <w:rsid w:val="00516369"/>
    <w:rsid w:val="00516E4D"/>
    <w:rsid w:val="00516F12"/>
    <w:rsid w:val="00520200"/>
    <w:rsid w:val="005205C3"/>
    <w:rsid w:val="00520CF9"/>
    <w:rsid w:val="00520E70"/>
    <w:rsid w:val="005215B2"/>
    <w:rsid w:val="00521998"/>
    <w:rsid w:val="0052293A"/>
    <w:rsid w:val="00523A39"/>
    <w:rsid w:val="00523DC6"/>
    <w:rsid w:val="005241FD"/>
    <w:rsid w:val="005252C7"/>
    <w:rsid w:val="00525614"/>
    <w:rsid w:val="00525BD2"/>
    <w:rsid w:val="00525BEF"/>
    <w:rsid w:val="00525E7A"/>
    <w:rsid w:val="0052611A"/>
    <w:rsid w:val="005265AB"/>
    <w:rsid w:val="005276A1"/>
    <w:rsid w:val="00527D68"/>
    <w:rsid w:val="00530899"/>
    <w:rsid w:val="0053130E"/>
    <w:rsid w:val="005315E8"/>
    <w:rsid w:val="005323C1"/>
    <w:rsid w:val="0053275B"/>
    <w:rsid w:val="0053369D"/>
    <w:rsid w:val="00533B52"/>
    <w:rsid w:val="00534CB9"/>
    <w:rsid w:val="00535605"/>
    <w:rsid w:val="0053581D"/>
    <w:rsid w:val="00535DC4"/>
    <w:rsid w:val="005365B2"/>
    <w:rsid w:val="00536F1C"/>
    <w:rsid w:val="00536F51"/>
    <w:rsid w:val="00536FA0"/>
    <w:rsid w:val="00537AF1"/>
    <w:rsid w:val="00541824"/>
    <w:rsid w:val="00541EA3"/>
    <w:rsid w:val="005423A5"/>
    <w:rsid w:val="005424C9"/>
    <w:rsid w:val="0054279C"/>
    <w:rsid w:val="0054363B"/>
    <w:rsid w:val="0054400F"/>
    <w:rsid w:val="0054447F"/>
    <w:rsid w:val="00546DA6"/>
    <w:rsid w:val="005470F4"/>
    <w:rsid w:val="005472B1"/>
    <w:rsid w:val="0054744F"/>
    <w:rsid w:val="005477F7"/>
    <w:rsid w:val="00550062"/>
    <w:rsid w:val="00551F14"/>
    <w:rsid w:val="00551F2B"/>
    <w:rsid w:val="005528FC"/>
    <w:rsid w:val="00552D77"/>
    <w:rsid w:val="00553778"/>
    <w:rsid w:val="0055417E"/>
    <w:rsid w:val="00554757"/>
    <w:rsid w:val="005548EC"/>
    <w:rsid w:val="00555F83"/>
    <w:rsid w:val="005562D3"/>
    <w:rsid w:val="00557FF8"/>
    <w:rsid w:val="0056024B"/>
    <w:rsid w:val="0056101C"/>
    <w:rsid w:val="00561AB9"/>
    <w:rsid w:val="0056307F"/>
    <w:rsid w:val="00564D25"/>
    <w:rsid w:val="00564D70"/>
    <w:rsid w:val="00565D23"/>
    <w:rsid w:val="00567B73"/>
    <w:rsid w:val="00567C7A"/>
    <w:rsid w:val="00570D82"/>
    <w:rsid w:val="00571072"/>
    <w:rsid w:val="005714D6"/>
    <w:rsid w:val="005716F3"/>
    <w:rsid w:val="00571C76"/>
    <w:rsid w:val="00572166"/>
    <w:rsid w:val="00572679"/>
    <w:rsid w:val="00573DD7"/>
    <w:rsid w:val="0057438D"/>
    <w:rsid w:val="00574EB1"/>
    <w:rsid w:val="00574FAD"/>
    <w:rsid w:val="00575207"/>
    <w:rsid w:val="00575E88"/>
    <w:rsid w:val="00576D02"/>
    <w:rsid w:val="00577643"/>
    <w:rsid w:val="00577695"/>
    <w:rsid w:val="00577ADC"/>
    <w:rsid w:val="00577D19"/>
    <w:rsid w:val="00577E1D"/>
    <w:rsid w:val="00580533"/>
    <w:rsid w:val="00581046"/>
    <w:rsid w:val="005847B4"/>
    <w:rsid w:val="005851B5"/>
    <w:rsid w:val="00585B88"/>
    <w:rsid w:val="0058604D"/>
    <w:rsid w:val="00590753"/>
    <w:rsid w:val="00590788"/>
    <w:rsid w:val="00590A0A"/>
    <w:rsid w:val="005915C4"/>
    <w:rsid w:val="00591930"/>
    <w:rsid w:val="005927C4"/>
    <w:rsid w:val="00592D11"/>
    <w:rsid w:val="00594D4E"/>
    <w:rsid w:val="0059559C"/>
    <w:rsid w:val="005962B9"/>
    <w:rsid w:val="00596F6D"/>
    <w:rsid w:val="00597877"/>
    <w:rsid w:val="00597E27"/>
    <w:rsid w:val="005A0B65"/>
    <w:rsid w:val="005A1269"/>
    <w:rsid w:val="005A1C99"/>
    <w:rsid w:val="005A1DF8"/>
    <w:rsid w:val="005A2CEB"/>
    <w:rsid w:val="005A3485"/>
    <w:rsid w:val="005A5D75"/>
    <w:rsid w:val="005A76DF"/>
    <w:rsid w:val="005B0081"/>
    <w:rsid w:val="005B024C"/>
    <w:rsid w:val="005B07E0"/>
    <w:rsid w:val="005B1E06"/>
    <w:rsid w:val="005B2FF5"/>
    <w:rsid w:val="005B3265"/>
    <w:rsid w:val="005B5C4A"/>
    <w:rsid w:val="005B6D19"/>
    <w:rsid w:val="005B7870"/>
    <w:rsid w:val="005B7CC2"/>
    <w:rsid w:val="005C06F5"/>
    <w:rsid w:val="005C08C9"/>
    <w:rsid w:val="005C3DBF"/>
    <w:rsid w:val="005C4312"/>
    <w:rsid w:val="005C4DE0"/>
    <w:rsid w:val="005C57E7"/>
    <w:rsid w:val="005C63F2"/>
    <w:rsid w:val="005C6412"/>
    <w:rsid w:val="005C67E2"/>
    <w:rsid w:val="005C7462"/>
    <w:rsid w:val="005D0114"/>
    <w:rsid w:val="005D0282"/>
    <w:rsid w:val="005D0AAD"/>
    <w:rsid w:val="005D1BA5"/>
    <w:rsid w:val="005D2457"/>
    <w:rsid w:val="005D24D3"/>
    <w:rsid w:val="005D2AD9"/>
    <w:rsid w:val="005D3DC4"/>
    <w:rsid w:val="005D648B"/>
    <w:rsid w:val="005D707D"/>
    <w:rsid w:val="005D7357"/>
    <w:rsid w:val="005E021D"/>
    <w:rsid w:val="005E089F"/>
    <w:rsid w:val="005E0913"/>
    <w:rsid w:val="005E2102"/>
    <w:rsid w:val="005E2A27"/>
    <w:rsid w:val="005E2F06"/>
    <w:rsid w:val="005E2F55"/>
    <w:rsid w:val="005E6345"/>
    <w:rsid w:val="005E677B"/>
    <w:rsid w:val="005E7108"/>
    <w:rsid w:val="005F0974"/>
    <w:rsid w:val="005F22C3"/>
    <w:rsid w:val="005F25E3"/>
    <w:rsid w:val="005F2D6F"/>
    <w:rsid w:val="005F3319"/>
    <w:rsid w:val="005F594B"/>
    <w:rsid w:val="005F5DF9"/>
    <w:rsid w:val="005F683E"/>
    <w:rsid w:val="005F737A"/>
    <w:rsid w:val="005F7A3E"/>
    <w:rsid w:val="00600234"/>
    <w:rsid w:val="006004DE"/>
    <w:rsid w:val="0060265A"/>
    <w:rsid w:val="00603BDB"/>
    <w:rsid w:val="00604376"/>
    <w:rsid w:val="00604B51"/>
    <w:rsid w:val="00604F70"/>
    <w:rsid w:val="006057BA"/>
    <w:rsid w:val="006057FA"/>
    <w:rsid w:val="00605F8A"/>
    <w:rsid w:val="00607CC0"/>
    <w:rsid w:val="006104C6"/>
    <w:rsid w:val="00610680"/>
    <w:rsid w:val="006107F7"/>
    <w:rsid w:val="00610C6F"/>
    <w:rsid w:val="00611978"/>
    <w:rsid w:val="00611B8D"/>
    <w:rsid w:val="00611F32"/>
    <w:rsid w:val="006123AA"/>
    <w:rsid w:val="00613062"/>
    <w:rsid w:val="006130DF"/>
    <w:rsid w:val="00615A88"/>
    <w:rsid w:val="00616A9C"/>
    <w:rsid w:val="00616E01"/>
    <w:rsid w:val="006206A2"/>
    <w:rsid w:val="0062271E"/>
    <w:rsid w:val="00623185"/>
    <w:rsid w:val="006235C9"/>
    <w:rsid w:val="006239B7"/>
    <w:rsid w:val="006245E4"/>
    <w:rsid w:val="00625F06"/>
    <w:rsid w:val="00627063"/>
    <w:rsid w:val="006272BE"/>
    <w:rsid w:val="00627CC1"/>
    <w:rsid w:val="00630CA2"/>
    <w:rsid w:val="00630D52"/>
    <w:rsid w:val="00632343"/>
    <w:rsid w:val="00632828"/>
    <w:rsid w:val="0063308B"/>
    <w:rsid w:val="00633617"/>
    <w:rsid w:val="0063478D"/>
    <w:rsid w:val="00635374"/>
    <w:rsid w:val="006363FF"/>
    <w:rsid w:val="00636501"/>
    <w:rsid w:val="006365D3"/>
    <w:rsid w:val="00636F43"/>
    <w:rsid w:val="006379EE"/>
    <w:rsid w:val="00637F68"/>
    <w:rsid w:val="00640B92"/>
    <w:rsid w:val="00640ECA"/>
    <w:rsid w:val="006418D0"/>
    <w:rsid w:val="00642F51"/>
    <w:rsid w:val="00643D4E"/>
    <w:rsid w:val="006444FD"/>
    <w:rsid w:val="006457B8"/>
    <w:rsid w:val="00645B36"/>
    <w:rsid w:val="00647B25"/>
    <w:rsid w:val="00647FD3"/>
    <w:rsid w:val="00650E7A"/>
    <w:rsid w:val="00651028"/>
    <w:rsid w:val="00651964"/>
    <w:rsid w:val="006532A3"/>
    <w:rsid w:val="00653BFE"/>
    <w:rsid w:val="0065486F"/>
    <w:rsid w:val="00655DAA"/>
    <w:rsid w:val="006606BB"/>
    <w:rsid w:val="00660BB1"/>
    <w:rsid w:val="006626E2"/>
    <w:rsid w:val="00663B3E"/>
    <w:rsid w:val="00663F28"/>
    <w:rsid w:val="0066440E"/>
    <w:rsid w:val="0066445A"/>
    <w:rsid w:val="00664F7B"/>
    <w:rsid w:val="00665586"/>
    <w:rsid w:val="00667887"/>
    <w:rsid w:val="00667EA6"/>
    <w:rsid w:val="00670D1B"/>
    <w:rsid w:val="00671D7F"/>
    <w:rsid w:val="00673400"/>
    <w:rsid w:val="00673F07"/>
    <w:rsid w:val="00673F93"/>
    <w:rsid w:val="006740D8"/>
    <w:rsid w:val="00674684"/>
    <w:rsid w:val="0067650F"/>
    <w:rsid w:val="00676693"/>
    <w:rsid w:val="00676700"/>
    <w:rsid w:val="00677314"/>
    <w:rsid w:val="00677B69"/>
    <w:rsid w:val="006800D9"/>
    <w:rsid w:val="00680597"/>
    <w:rsid w:val="00681384"/>
    <w:rsid w:val="0068238D"/>
    <w:rsid w:val="006824DC"/>
    <w:rsid w:val="0068471D"/>
    <w:rsid w:val="00685D41"/>
    <w:rsid w:val="0068779B"/>
    <w:rsid w:val="0069039F"/>
    <w:rsid w:val="00691911"/>
    <w:rsid w:val="00692191"/>
    <w:rsid w:val="00692F13"/>
    <w:rsid w:val="00693671"/>
    <w:rsid w:val="006948EC"/>
    <w:rsid w:val="00695730"/>
    <w:rsid w:val="00696B3F"/>
    <w:rsid w:val="00696B4A"/>
    <w:rsid w:val="006A0075"/>
    <w:rsid w:val="006A09D1"/>
    <w:rsid w:val="006A454A"/>
    <w:rsid w:val="006A462B"/>
    <w:rsid w:val="006A4F1B"/>
    <w:rsid w:val="006A57BC"/>
    <w:rsid w:val="006A5EFF"/>
    <w:rsid w:val="006A6577"/>
    <w:rsid w:val="006A6805"/>
    <w:rsid w:val="006A69DC"/>
    <w:rsid w:val="006B12DA"/>
    <w:rsid w:val="006B13C5"/>
    <w:rsid w:val="006B18B2"/>
    <w:rsid w:val="006B2A97"/>
    <w:rsid w:val="006B2BD1"/>
    <w:rsid w:val="006B402D"/>
    <w:rsid w:val="006B5B6D"/>
    <w:rsid w:val="006B6B33"/>
    <w:rsid w:val="006C0216"/>
    <w:rsid w:val="006C19C1"/>
    <w:rsid w:val="006C32E2"/>
    <w:rsid w:val="006C3744"/>
    <w:rsid w:val="006C3998"/>
    <w:rsid w:val="006C4642"/>
    <w:rsid w:val="006C5A87"/>
    <w:rsid w:val="006C5DAA"/>
    <w:rsid w:val="006C5F25"/>
    <w:rsid w:val="006C600E"/>
    <w:rsid w:val="006C6754"/>
    <w:rsid w:val="006C716A"/>
    <w:rsid w:val="006C759F"/>
    <w:rsid w:val="006D0681"/>
    <w:rsid w:val="006D0727"/>
    <w:rsid w:val="006D3079"/>
    <w:rsid w:val="006D3B6F"/>
    <w:rsid w:val="006D44BC"/>
    <w:rsid w:val="006D5FAD"/>
    <w:rsid w:val="006D6D6E"/>
    <w:rsid w:val="006D7951"/>
    <w:rsid w:val="006E0DD0"/>
    <w:rsid w:val="006E0EC5"/>
    <w:rsid w:val="006E101E"/>
    <w:rsid w:val="006E1647"/>
    <w:rsid w:val="006E1BE4"/>
    <w:rsid w:val="006E1E08"/>
    <w:rsid w:val="006E39D1"/>
    <w:rsid w:val="006E3AE4"/>
    <w:rsid w:val="006E47A2"/>
    <w:rsid w:val="006E52BD"/>
    <w:rsid w:val="006E52DB"/>
    <w:rsid w:val="006E63F0"/>
    <w:rsid w:val="006E6B63"/>
    <w:rsid w:val="006E7710"/>
    <w:rsid w:val="006E7DA7"/>
    <w:rsid w:val="006F0274"/>
    <w:rsid w:val="006F159C"/>
    <w:rsid w:val="006F1E4C"/>
    <w:rsid w:val="006F2A74"/>
    <w:rsid w:val="006F344A"/>
    <w:rsid w:val="006F38E5"/>
    <w:rsid w:val="006F3D95"/>
    <w:rsid w:val="006F4EC7"/>
    <w:rsid w:val="006F6B21"/>
    <w:rsid w:val="006F6E63"/>
    <w:rsid w:val="006F70AA"/>
    <w:rsid w:val="007004EA"/>
    <w:rsid w:val="00700508"/>
    <w:rsid w:val="0070056A"/>
    <w:rsid w:val="0070059A"/>
    <w:rsid w:val="00700921"/>
    <w:rsid w:val="0070097C"/>
    <w:rsid w:val="007010B3"/>
    <w:rsid w:val="0070201F"/>
    <w:rsid w:val="0070203E"/>
    <w:rsid w:val="00702F54"/>
    <w:rsid w:val="007030C7"/>
    <w:rsid w:val="00704C16"/>
    <w:rsid w:val="00705288"/>
    <w:rsid w:val="00705668"/>
    <w:rsid w:val="0070644D"/>
    <w:rsid w:val="0070659C"/>
    <w:rsid w:val="00706A14"/>
    <w:rsid w:val="00707751"/>
    <w:rsid w:val="00707A37"/>
    <w:rsid w:val="007101AD"/>
    <w:rsid w:val="00710AEB"/>
    <w:rsid w:val="007113D4"/>
    <w:rsid w:val="007125E7"/>
    <w:rsid w:val="00713125"/>
    <w:rsid w:val="007134DC"/>
    <w:rsid w:val="00714146"/>
    <w:rsid w:val="007144C7"/>
    <w:rsid w:val="007157CF"/>
    <w:rsid w:val="00715939"/>
    <w:rsid w:val="007159A5"/>
    <w:rsid w:val="0071614B"/>
    <w:rsid w:val="007163F9"/>
    <w:rsid w:val="00717689"/>
    <w:rsid w:val="0072070D"/>
    <w:rsid w:val="00720FD9"/>
    <w:rsid w:val="0072184F"/>
    <w:rsid w:val="00721BC5"/>
    <w:rsid w:val="00721E7B"/>
    <w:rsid w:val="00722651"/>
    <w:rsid w:val="0072294A"/>
    <w:rsid w:val="00722E04"/>
    <w:rsid w:val="007244CC"/>
    <w:rsid w:val="00724C0C"/>
    <w:rsid w:val="007252F4"/>
    <w:rsid w:val="00725639"/>
    <w:rsid w:val="00725DA2"/>
    <w:rsid w:val="00726BAB"/>
    <w:rsid w:val="00726CA8"/>
    <w:rsid w:val="00726D48"/>
    <w:rsid w:val="00727937"/>
    <w:rsid w:val="00727F4B"/>
    <w:rsid w:val="00730357"/>
    <w:rsid w:val="007315ED"/>
    <w:rsid w:val="00731C40"/>
    <w:rsid w:val="007323F8"/>
    <w:rsid w:val="0073343E"/>
    <w:rsid w:val="007336F2"/>
    <w:rsid w:val="00734468"/>
    <w:rsid w:val="00734962"/>
    <w:rsid w:val="007353C9"/>
    <w:rsid w:val="007357E7"/>
    <w:rsid w:val="00737A02"/>
    <w:rsid w:val="00737C99"/>
    <w:rsid w:val="007400FE"/>
    <w:rsid w:val="007401B1"/>
    <w:rsid w:val="00740742"/>
    <w:rsid w:val="00742350"/>
    <w:rsid w:val="007434ED"/>
    <w:rsid w:val="0074371B"/>
    <w:rsid w:val="00744F36"/>
    <w:rsid w:val="007450E5"/>
    <w:rsid w:val="00747C65"/>
    <w:rsid w:val="00747D0F"/>
    <w:rsid w:val="00751C88"/>
    <w:rsid w:val="00752516"/>
    <w:rsid w:val="007545D3"/>
    <w:rsid w:val="00755244"/>
    <w:rsid w:val="00755EE5"/>
    <w:rsid w:val="0075630F"/>
    <w:rsid w:val="007569D2"/>
    <w:rsid w:val="00757511"/>
    <w:rsid w:val="00761693"/>
    <w:rsid w:val="0076273B"/>
    <w:rsid w:val="007630AF"/>
    <w:rsid w:val="00763B86"/>
    <w:rsid w:val="00764DCF"/>
    <w:rsid w:val="0076650B"/>
    <w:rsid w:val="007665AB"/>
    <w:rsid w:val="00767407"/>
    <w:rsid w:val="0076785E"/>
    <w:rsid w:val="00767F10"/>
    <w:rsid w:val="007710BB"/>
    <w:rsid w:val="007728A9"/>
    <w:rsid w:val="00772A2E"/>
    <w:rsid w:val="007764D7"/>
    <w:rsid w:val="007779DB"/>
    <w:rsid w:val="00777D84"/>
    <w:rsid w:val="00780021"/>
    <w:rsid w:val="00780711"/>
    <w:rsid w:val="00781008"/>
    <w:rsid w:val="007832D1"/>
    <w:rsid w:val="00783687"/>
    <w:rsid w:val="007839F7"/>
    <w:rsid w:val="007842A9"/>
    <w:rsid w:val="00784304"/>
    <w:rsid w:val="007849A2"/>
    <w:rsid w:val="00785441"/>
    <w:rsid w:val="00787813"/>
    <w:rsid w:val="0078794C"/>
    <w:rsid w:val="007900CE"/>
    <w:rsid w:val="007900DF"/>
    <w:rsid w:val="0079050E"/>
    <w:rsid w:val="007909EA"/>
    <w:rsid w:val="00790C74"/>
    <w:rsid w:val="00792C1D"/>
    <w:rsid w:val="007931FA"/>
    <w:rsid w:val="007939BF"/>
    <w:rsid w:val="007942FB"/>
    <w:rsid w:val="0079452E"/>
    <w:rsid w:val="0079534A"/>
    <w:rsid w:val="007955C1"/>
    <w:rsid w:val="00795CC3"/>
    <w:rsid w:val="007A12F4"/>
    <w:rsid w:val="007A1759"/>
    <w:rsid w:val="007A25E1"/>
    <w:rsid w:val="007A2621"/>
    <w:rsid w:val="007A2A6E"/>
    <w:rsid w:val="007A2A78"/>
    <w:rsid w:val="007A2C38"/>
    <w:rsid w:val="007A49C5"/>
    <w:rsid w:val="007A5022"/>
    <w:rsid w:val="007A5A77"/>
    <w:rsid w:val="007A648E"/>
    <w:rsid w:val="007A6587"/>
    <w:rsid w:val="007A7F92"/>
    <w:rsid w:val="007B020C"/>
    <w:rsid w:val="007B1B7E"/>
    <w:rsid w:val="007B2C77"/>
    <w:rsid w:val="007B31F2"/>
    <w:rsid w:val="007B37D5"/>
    <w:rsid w:val="007B489C"/>
    <w:rsid w:val="007B4F29"/>
    <w:rsid w:val="007B5502"/>
    <w:rsid w:val="007B579B"/>
    <w:rsid w:val="007B6231"/>
    <w:rsid w:val="007B639B"/>
    <w:rsid w:val="007B655E"/>
    <w:rsid w:val="007B6767"/>
    <w:rsid w:val="007C01A2"/>
    <w:rsid w:val="007C13A1"/>
    <w:rsid w:val="007C21E2"/>
    <w:rsid w:val="007C24CC"/>
    <w:rsid w:val="007C2519"/>
    <w:rsid w:val="007C2797"/>
    <w:rsid w:val="007C2C3B"/>
    <w:rsid w:val="007C325B"/>
    <w:rsid w:val="007C33A5"/>
    <w:rsid w:val="007C424C"/>
    <w:rsid w:val="007C49B1"/>
    <w:rsid w:val="007C52C4"/>
    <w:rsid w:val="007C5AC7"/>
    <w:rsid w:val="007D07DB"/>
    <w:rsid w:val="007D088E"/>
    <w:rsid w:val="007D3307"/>
    <w:rsid w:val="007D38CC"/>
    <w:rsid w:val="007D3D70"/>
    <w:rsid w:val="007D4E55"/>
    <w:rsid w:val="007D6971"/>
    <w:rsid w:val="007D706C"/>
    <w:rsid w:val="007D7877"/>
    <w:rsid w:val="007E09E5"/>
    <w:rsid w:val="007E0D08"/>
    <w:rsid w:val="007E1266"/>
    <w:rsid w:val="007E27C2"/>
    <w:rsid w:val="007E2DCC"/>
    <w:rsid w:val="007E3268"/>
    <w:rsid w:val="007E560E"/>
    <w:rsid w:val="007E59C7"/>
    <w:rsid w:val="007E6332"/>
    <w:rsid w:val="007E6D02"/>
    <w:rsid w:val="007F031D"/>
    <w:rsid w:val="007F20A0"/>
    <w:rsid w:val="007F26AE"/>
    <w:rsid w:val="007F292B"/>
    <w:rsid w:val="007F42FA"/>
    <w:rsid w:val="007F5113"/>
    <w:rsid w:val="007F6569"/>
    <w:rsid w:val="007F69FE"/>
    <w:rsid w:val="007F6C65"/>
    <w:rsid w:val="007F6EB1"/>
    <w:rsid w:val="008017EF"/>
    <w:rsid w:val="00803184"/>
    <w:rsid w:val="008059E3"/>
    <w:rsid w:val="008064EE"/>
    <w:rsid w:val="008065FD"/>
    <w:rsid w:val="0080662D"/>
    <w:rsid w:val="008105D2"/>
    <w:rsid w:val="008106D3"/>
    <w:rsid w:val="00810EED"/>
    <w:rsid w:val="008118A5"/>
    <w:rsid w:val="0081257A"/>
    <w:rsid w:val="00812878"/>
    <w:rsid w:val="008130CF"/>
    <w:rsid w:val="008134A0"/>
    <w:rsid w:val="00813888"/>
    <w:rsid w:val="008145B9"/>
    <w:rsid w:val="008150E7"/>
    <w:rsid w:val="008163A2"/>
    <w:rsid w:val="00816AC0"/>
    <w:rsid w:val="00816DD3"/>
    <w:rsid w:val="008207B0"/>
    <w:rsid w:val="00821913"/>
    <w:rsid w:val="00823C5D"/>
    <w:rsid w:val="00824419"/>
    <w:rsid w:val="0082602F"/>
    <w:rsid w:val="00826116"/>
    <w:rsid w:val="008261A4"/>
    <w:rsid w:val="00826C4D"/>
    <w:rsid w:val="00827710"/>
    <w:rsid w:val="00827B5C"/>
    <w:rsid w:val="00827BFB"/>
    <w:rsid w:val="00831571"/>
    <w:rsid w:val="0083159F"/>
    <w:rsid w:val="00831A49"/>
    <w:rsid w:val="008329ED"/>
    <w:rsid w:val="00833783"/>
    <w:rsid w:val="00835E89"/>
    <w:rsid w:val="0083714D"/>
    <w:rsid w:val="008400F9"/>
    <w:rsid w:val="00840418"/>
    <w:rsid w:val="00840562"/>
    <w:rsid w:val="0084363D"/>
    <w:rsid w:val="008436C9"/>
    <w:rsid w:val="00843F6D"/>
    <w:rsid w:val="00844252"/>
    <w:rsid w:val="008442D6"/>
    <w:rsid w:val="008444B5"/>
    <w:rsid w:val="00844750"/>
    <w:rsid w:val="00844836"/>
    <w:rsid w:val="00844A2A"/>
    <w:rsid w:val="00844F0B"/>
    <w:rsid w:val="00845033"/>
    <w:rsid w:val="00845261"/>
    <w:rsid w:val="00845A3C"/>
    <w:rsid w:val="008479B9"/>
    <w:rsid w:val="008510F6"/>
    <w:rsid w:val="00851E82"/>
    <w:rsid w:val="00854B72"/>
    <w:rsid w:val="00855AA6"/>
    <w:rsid w:val="00856BD3"/>
    <w:rsid w:val="00860008"/>
    <w:rsid w:val="0086032A"/>
    <w:rsid w:val="008611E8"/>
    <w:rsid w:val="00862386"/>
    <w:rsid w:val="008634D1"/>
    <w:rsid w:val="00863668"/>
    <w:rsid w:val="00867413"/>
    <w:rsid w:val="008676B2"/>
    <w:rsid w:val="0087127E"/>
    <w:rsid w:val="00872937"/>
    <w:rsid w:val="00873593"/>
    <w:rsid w:val="008741A1"/>
    <w:rsid w:val="00874926"/>
    <w:rsid w:val="00875253"/>
    <w:rsid w:val="00875D35"/>
    <w:rsid w:val="00875E53"/>
    <w:rsid w:val="008777A3"/>
    <w:rsid w:val="00877AD7"/>
    <w:rsid w:val="0088084F"/>
    <w:rsid w:val="00881F5C"/>
    <w:rsid w:val="008827E1"/>
    <w:rsid w:val="0088284F"/>
    <w:rsid w:val="008833C6"/>
    <w:rsid w:val="00883F80"/>
    <w:rsid w:val="00885CB8"/>
    <w:rsid w:val="00887F0F"/>
    <w:rsid w:val="0089015C"/>
    <w:rsid w:val="008908AE"/>
    <w:rsid w:val="0089107F"/>
    <w:rsid w:val="00892B55"/>
    <w:rsid w:val="00892B74"/>
    <w:rsid w:val="008934F4"/>
    <w:rsid w:val="00895591"/>
    <w:rsid w:val="008959DE"/>
    <w:rsid w:val="00897A5D"/>
    <w:rsid w:val="008A0AD6"/>
    <w:rsid w:val="008A0D14"/>
    <w:rsid w:val="008A1159"/>
    <w:rsid w:val="008A1ACA"/>
    <w:rsid w:val="008A25AF"/>
    <w:rsid w:val="008A35CB"/>
    <w:rsid w:val="008A3627"/>
    <w:rsid w:val="008A36FD"/>
    <w:rsid w:val="008A42C2"/>
    <w:rsid w:val="008A4509"/>
    <w:rsid w:val="008A4C56"/>
    <w:rsid w:val="008A605B"/>
    <w:rsid w:val="008A6080"/>
    <w:rsid w:val="008A6193"/>
    <w:rsid w:val="008A61CB"/>
    <w:rsid w:val="008A66F7"/>
    <w:rsid w:val="008A6A2C"/>
    <w:rsid w:val="008A6D70"/>
    <w:rsid w:val="008B0B38"/>
    <w:rsid w:val="008B17CE"/>
    <w:rsid w:val="008B421B"/>
    <w:rsid w:val="008B4A05"/>
    <w:rsid w:val="008B4FBE"/>
    <w:rsid w:val="008B5A4E"/>
    <w:rsid w:val="008C0AE3"/>
    <w:rsid w:val="008C0E92"/>
    <w:rsid w:val="008C11C8"/>
    <w:rsid w:val="008C1629"/>
    <w:rsid w:val="008C1D32"/>
    <w:rsid w:val="008C2D2B"/>
    <w:rsid w:val="008C35B5"/>
    <w:rsid w:val="008C36D4"/>
    <w:rsid w:val="008C3BAC"/>
    <w:rsid w:val="008C3BE4"/>
    <w:rsid w:val="008C3E3D"/>
    <w:rsid w:val="008C471D"/>
    <w:rsid w:val="008C4990"/>
    <w:rsid w:val="008C5C55"/>
    <w:rsid w:val="008C5CC4"/>
    <w:rsid w:val="008C617F"/>
    <w:rsid w:val="008C6196"/>
    <w:rsid w:val="008C70A3"/>
    <w:rsid w:val="008D2360"/>
    <w:rsid w:val="008D31FC"/>
    <w:rsid w:val="008D4DE2"/>
    <w:rsid w:val="008D5809"/>
    <w:rsid w:val="008D5D1E"/>
    <w:rsid w:val="008D64C2"/>
    <w:rsid w:val="008E0748"/>
    <w:rsid w:val="008E1A26"/>
    <w:rsid w:val="008E262A"/>
    <w:rsid w:val="008E27A9"/>
    <w:rsid w:val="008E340F"/>
    <w:rsid w:val="008E373E"/>
    <w:rsid w:val="008E3A2D"/>
    <w:rsid w:val="008E3A91"/>
    <w:rsid w:val="008E3CA1"/>
    <w:rsid w:val="008E4327"/>
    <w:rsid w:val="008E7D65"/>
    <w:rsid w:val="008E7EAE"/>
    <w:rsid w:val="008F046B"/>
    <w:rsid w:val="008F5486"/>
    <w:rsid w:val="008F552A"/>
    <w:rsid w:val="008F6564"/>
    <w:rsid w:val="00902565"/>
    <w:rsid w:val="00902E0B"/>
    <w:rsid w:val="00902F08"/>
    <w:rsid w:val="00903401"/>
    <w:rsid w:val="0090343A"/>
    <w:rsid w:val="0090481A"/>
    <w:rsid w:val="009048E5"/>
    <w:rsid w:val="00904AE5"/>
    <w:rsid w:val="00904B86"/>
    <w:rsid w:val="00905806"/>
    <w:rsid w:val="00906DA1"/>
    <w:rsid w:val="00907A6D"/>
    <w:rsid w:val="00910F1F"/>
    <w:rsid w:val="00911843"/>
    <w:rsid w:val="00911901"/>
    <w:rsid w:val="00912269"/>
    <w:rsid w:val="00912701"/>
    <w:rsid w:val="00914696"/>
    <w:rsid w:val="0091770E"/>
    <w:rsid w:val="00917EA1"/>
    <w:rsid w:val="00920021"/>
    <w:rsid w:val="009204CA"/>
    <w:rsid w:val="0092197A"/>
    <w:rsid w:val="00923106"/>
    <w:rsid w:val="00923C56"/>
    <w:rsid w:val="00923FB8"/>
    <w:rsid w:val="0092438F"/>
    <w:rsid w:val="0092491E"/>
    <w:rsid w:val="00925EA0"/>
    <w:rsid w:val="00926233"/>
    <w:rsid w:val="00926808"/>
    <w:rsid w:val="00927D76"/>
    <w:rsid w:val="009300E2"/>
    <w:rsid w:val="0093015F"/>
    <w:rsid w:val="009305CE"/>
    <w:rsid w:val="00931A25"/>
    <w:rsid w:val="00931B01"/>
    <w:rsid w:val="00934D7B"/>
    <w:rsid w:val="00936BD1"/>
    <w:rsid w:val="00936DEF"/>
    <w:rsid w:val="0093772E"/>
    <w:rsid w:val="0094085F"/>
    <w:rsid w:val="00940A0B"/>
    <w:rsid w:val="00940C78"/>
    <w:rsid w:val="00942952"/>
    <w:rsid w:val="00942D89"/>
    <w:rsid w:val="009432D7"/>
    <w:rsid w:val="009433CD"/>
    <w:rsid w:val="00943795"/>
    <w:rsid w:val="00946766"/>
    <w:rsid w:val="00946971"/>
    <w:rsid w:val="009477AD"/>
    <w:rsid w:val="00947DD1"/>
    <w:rsid w:val="00950872"/>
    <w:rsid w:val="009513BE"/>
    <w:rsid w:val="00951928"/>
    <w:rsid w:val="00951A02"/>
    <w:rsid w:val="00951F19"/>
    <w:rsid w:val="009521EF"/>
    <w:rsid w:val="00952D09"/>
    <w:rsid w:val="00953C10"/>
    <w:rsid w:val="0095513A"/>
    <w:rsid w:val="00955940"/>
    <w:rsid w:val="009570C8"/>
    <w:rsid w:val="009571B8"/>
    <w:rsid w:val="0096055D"/>
    <w:rsid w:val="00960FA6"/>
    <w:rsid w:val="00962310"/>
    <w:rsid w:val="00962762"/>
    <w:rsid w:val="00962BA2"/>
    <w:rsid w:val="009630BB"/>
    <w:rsid w:val="00963F86"/>
    <w:rsid w:val="0096492A"/>
    <w:rsid w:val="00965369"/>
    <w:rsid w:val="00965543"/>
    <w:rsid w:val="0096740A"/>
    <w:rsid w:val="00967689"/>
    <w:rsid w:val="009679FD"/>
    <w:rsid w:val="00967BA5"/>
    <w:rsid w:val="0097083E"/>
    <w:rsid w:val="009709D2"/>
    <w:rsid w:val="00971BC1"/>
    <w:rsid w:val="0097264C"/>
    <w:rsid w:val="00973D1B"/>
    <w:rsid w:val="00975270"/>
    <w:rsid w:val="00975316"/>
    <w:rsid w:val="00975AF1"/>
    <w:rsid w:val="00977C7A"/>
    <w:rsid w:val="00980FF4"/>
    <w:rsid w:val="00981859"/>
    <w:rsid w:val="0098272B"/>
    <w:rsid w:val="0098420B"/>
    <w:rsid w:val="00984C32"/>
    <w:rsid w:val="00985418"/>
    <w:rsid w:val="00985559"/>
    <w:rsid w:val="00985871"/>
    <w:rsid w:val="00985D41"/>
    <w:rsid w:val="0098656A"/>
    <w:rsid w:val="0098684B"/>
    <w:rsid w:val="00986C2C"/>
    <w:rsid w:val="00987564"/>
    <w:rsid w:val="00987E4D"/>
    <w:rsid w:val="009920E5"/>
    <w:rsid w:val="0099245A"/>
    <w:rsid w:val="00992D1C"/>
    <w:rsid w:val="00992F82"/>
    <w:rsid w:val="00993AEB"/>
    <w:rsid w:val="0099425D"/>
    <w:rsid w:val="009953D5"/>
    <w:rsid w:val="00996618"/>
    <w:rsid w:val="00997515"/>
    <w:rsid w:val="009A04C9"/>
    <w:rsid w:val="009A04CA"/>
    <w:rsid w:val="009A0745"/>
    <w:rsid w:val="009A08ED"/>
    <w:rsid w:val="009A0C73"/>
    <w:rsid w:val="009A2CEC"/>
    <w:rsid w:val="009A3E71"/>
    <w:rsid w:val="009A442A"/>
    <w:rsid w:val="009A443F"/>
    <w:rsid w:val="009A52CD"/>
    <w:rsid w:val="009A57E8"/>
    <w:rsid w:val="009A6B08"/>
    <w:rsid w:val="009A70B4"/>
    <w:rsid w:val="009B0028"/>
    <w:rsid w:val="009B2437"/>
    <w:rsid w:val="009B2E89"/>
    <w:rsid w:val="009B319D"/>
    <w:rsid w:val="009B394F"/>
    <w:rsid w:val="009B6643"/>
    <w:rsid w:val="009B6721"/>
    <w:rsid w:val="009C0058"/>
    <w:rsid w:val="009C0F3D"/>
    <w:rsid w:val="009C13F6"/>
    <w:rsid w:val="009C1454"/>
    <w:rsid w:val="009C282F"/>
    <w:rsid w:val="009C2D4E"/>
    <w:rsid w:val="009C4769"/>
    <w:rsid w:val="009C4CA9"/>
    <w:rsid w:val="009D0E69"/>
    <w:rsid w:val="009D2B7C"/>
    <w:rsid w:val="009D322C"/>
    <w:rsid w:val="009D467C"/>
    <w:rsid w:val="009D5091"/>
    <w:rsid w:val="009D6128"/>
    <w:rsid w:val="009D6137"/>
    <w:rsid w:val="009D6D9B"/>
    <w:rsid w:val="009D7CC8"/>
    <w:rsid w:val="009E07A6"/>
    <w:rsid w:val="009E0EEB"/>
    <w:rsid w:val="009E28B4"/>
    <w:rsid w:val="009E4212"/>
    <w:rsid w:val="009E478E"/>
    <w:rsid w:val="009E50E2"/>
    <w:rsid w:val="009E5C6E"/>
    <w:rsid w:val="009E679D"/>
    <w:rsid w:val="009E70CA"/>
    <w:rsid w:val="009F0175"/>
    <w:rsid w:val="009F06FE"/>
    <w:rsid w:val="009F1158"/>
    <w:rsid w:val="009F116D"/>
    <w:rsid w:val="009F1200"/>
    <w:rsid w:val="009F152C"/>
    <w:rsid w:val="009F162A"/>
    <w:rsid w:val="009F3292"/>
    <w:rsid w:val="009F43E3"/>
    <w:rsid w:val="009F5197"/>
    <w:rsid w:val="009F54E8"/>
    <w:rsid w:val="009F57EB"/>
    <w:rsid w:val="009F5811"/>
    <w:rsid w:val="009F63DC"/>
    <w:rsid w:val="009F74DA"/>
    <w:rsid w:val="009F7D54"/>
    <w:rsid w:val="00A00264"/>
    <w:rsid w:val="00A0026A"/>
    <w:rsid w:val="00A025BD"/>
    <w:rsid w:val="00A039D9"/>
    <w:rsid w:val="00A043EA"/>
    <w:rsid w:val="00A046A3"/>
    <w:rsid w:val="00A055C8"/>
    <w:rsid w:val="00A05B1A"/>
    <w:rsid w:val="00A06446"/>
    <w:rsid w:val="00A069F3"/>
    <w:rsid w:val="00A06CFE"/>
    <w:rsid w:val="00A06E72"/>
    <w:rsid w:val="00A104FA"/>
    <w:rsid w:val="00A11654"/>
    <w:rsid w:val="00A12910"/>
    <w:rsid w:val="00A13365"/>
    <w:rsid w:val="00A1357D"/>
    <w:rsid w:val="00A13971"/>
    <w:rsid w:val="00A13FA8"/>
    <w:rsid w:val="00A14C02"/>
    <w:rsid w:val="00A1634A"/>
    <w:rsid w:val="00A16A40"/>
    <w:rsid w:val="00A16ACA"/>
    <w:rsid w:val="00A16E31"/>
    <w:rsid w:val="00A17421"/>
    <w:rsid w:val="00A17EBE"/>
    <w:rsid w:val="00A2057F"/>
    <w:rsid w:val="00A20844"/>
    <w:rsid w:val="00A212BB"/>
    <w:rsid w:val="00A21659"/>
    <w:rsid w:val="00A21DC8"/>
    <w:rsid w:val="00A21E20"/>
    <w:rsid w:val="00A22B0A"/>
    <w:rsid w:val="00A22F26"/>
    <w:rsid w:val="00A22F52"/>
    <w:rsid w:val="00A24115"/>
    <w:rsid w:val="00A253ED"/>
    <w:rsid w:val="00A261BB"/>
    <w:rsid w:val="00A26836"/>
    <w:rsid w:val="00A27873"/>
    <w:rsid w:val="00A27CD6"/>
    <w:rsid w:val="00A27FCC"/>
    <w:rsid w:val="00A30D58"/>
    <w:rsid w:val="00A310E1"/>
    <w:rsid w:val="00A327E1"/>
    <w:rsid w:val="00A32891"/>
    <w:rsid w:val="00A331C0"/>
    <w:rsid w:val="00A33E8B"/>
    <w:rsid w:val="00A34873"/>
    <w:rsid w:val="00A35F91"/>
    <w:rsid w:val="00A40B95"/>
    <w:rsid w:val="00A41273"/>
    <w:rsid w:val="00A4207B"/>
    <w:rsid w:val="00A4211C"/>
    <w:rsid w:val="00A4235E"/>
    <w:rsid w:val="00A42727"/>
    <w:rsid w:val="00A4336D"/>
    <w:rsid w:val="00A443F9"/>
    <w:rsid w:val="00A446B7"/>
    <w:rsid w:val="00A44997"/>
    <w:rsid w:val="00A45290"/>
    <w:rsid w:val="00A461DA"/>
    <w:rsid w:val="00A46CD2"/>
    <w:rsid w:val="00A46E24"/>
    <w:rsid w:val="00A47516"/>
    <w:rsid w:val="00A479A9"/>
    <w:rsid w:val="00A50CCF"/>
    <w:rsid w:val="00A51259"/>
    <w:rsid w:val="00A51315"/>
    <w:rsid w:val="00A51DEB"/>
    <w:rsid w:val="00A5283A"/>
    <w:rsid w:val="00A53341"/>
    <w:rsid w:val="00A5376B"/>
    <w:rsid w:val="00A54543"/>
    <w:rsid w:val="00A55005"/>
    <w:rsid w:val="00A55DC9"/>
    <w:rsid w:val="00A56A1E"/>
    <w:rsid w:val="00A56FE5"/>
    <w:rsid w:val="00A61F11"/>
    <w:rsid w:val="00A63259"/>
    <w:rsid w:val="00A63366"/>
    <w:rsid w:val="00A6336E"/>
    <w:rsid w:val="00A63C8F"/>
    <w:rsid w:val="00A6414D"/>
    <w:rsid w:val="00A64476"/>
    <w:rsid w:val="00A6455E"/>
    <w:rsid w:val="00A64B4C"/>
    <w:rsid w:val="00A66476"/>
    <w:rsid w:val="00A66A53"/>
    <w:rsid w:val="00A672B4"/>
    <w:rsid w:val="00A70C9F"/>
    <w:rsid w:val="00A71BC6"/>
    <w:rsid w:val="00A7222C"/>
    <w:rsid w:val="00A72AF7"/>
    <w:rsid w:val="00A730E7"/>
    <w:rsid w:val="00A7738A"/>
    <w:rsid w:val="00A80332"/>
    <w:rsid w:val="00A809AF"/>
    <w:rsid w:val="00A81110"/>
    <w:rsid w:val="00A812BD"/>
    <w:rsid w:val="00A81558"/>
    <w:rsid w:val="00A820FA"/>
    <w:rsid w:val="00A82150"/>
    <w:rsid w:val="00A823D3"/>
    <w:rsid w:val="00A8334F"/>
    <w:rsid w:val="00A84590"/>
    <w:rsid w:val="00A8475C"/>
    <w:rsid w:val="00A85366"/>
    <w:rsid w:val="00A854FE"/>
    <w:rsid w:val="00A8587E"/>
    <w:rsid w:val="00A865F6"/>
    <w:rsid w:val="00A872F4"/>
    <w:rsid w:val="00A90321"/>
    <w:rsid w:val="00A9189B"/>
    <w:rsid w:val="00A9202F"/>
    <w:rsid w:val="00A932AD"/>
    <w:rsid w:val="00A93488"/>
    <w:rsid w:val="00A9371B"/>
    <w:rsid w:val="00A9373B"/>
    <w:rsid w:val="00A95CF6"/>
    <w:rsid w:val="00A960BC"/>
    <w:rsid w:val="00A9723F"/>
    <w:rsid w:val="00AA0403"/>
    <w:rsid w:val="00AA0DE9"/>
    <w:rsid w:val="00AA1770"/>
    <w:rsid w:val="00AA2748"/>
    <w:rsid w:val="00AA30BB"/>
    <w:rsid w:val="00AA4839"/>
    <w:rsid w:val="00AA51AF"/>
    <w:rsid w:val="00AA5328"/>
    <w:rsid w:val="00AA59BF"/>
    <w:rsid w:val="00AA5DED"/>
    <w:rsid w:val="00AA5EFA"/>
    <w:rsid w:val="00AA7297"/>
    <w:rsid w:val="00AA7907"/>
    <w:rsid w:val="00AB06D0"/>
    <w:rsid w:val="00AB1D15"/>
    <w:rsid w:val="00AB2EA7"/>
    <w:rsid w:val="00AB4C22"/>
    <w:rsid w:val="00AB5158"/>
    <w:rsid w:val="00AB6F7A"/>
    <w:rsid w:val="00AB755F"/>
    <w:rsid w:val="00AC0016"/>
    <w:rsid w:val="00AC0334"/>
    <w:rsid w:val="00AC1E37"/>
    <w:rsid w:val="00AC5066"/>
    <w:rsid w:val="00AC6094"/>
    <w:rsid w:val="00AC6A8F"/>
    <w:rsid w:val="00AC6CC4"/>
    <w:rsid w:val="00AD0AF9"/>
    <w:rsid w:val="00AD0C6B"/>
    <w:rsid w:val="00AD1D87"/>
    <w:rsid w:val="00AD1F36"/>
    <w:rsid w:val="00AD2C1C"/>
    <w:rsid w:val="00AD3080"/>
    <w:rsid w:val="00AD312C"/>
    <w:rsid w:val="00AD3477"/>
    <w:rsid w:val="00AD5085"/>
    <w:rsid w:val="00AD62E4"/>
    <w:rsid w:val="00AD6711"/>
    <w:rsid w:val="00AD6881"/>
    <w:rsid w:val="00AD7FFD"/>
    <w:rsid w:val="00AE03B7"/>
    <w:rsid w:val="00AE0A59"/>
    <w:rsid w:val="00AE0A89"/>
    <w:rsid w:val="00AE0DBB"/>
    <w:rsid w:val="00AE0E2D"/>
    <w:rsid w:val="00AE14F3"/>
    <w:rsid w:val="00AE1B86"/>
    <w:rsid w:val="00AE1C83"/>
    <w:rsid w:val="00AE1CCF"/>
    <w:rsid w:val="00AE38C3"/>
    <w:rsid w:val="00AE3C50"/>
    <w:rsid w:val="00AE531E"/>
    <w:rsid w:val="00AE6918"/>
    <w:rsid w:val="00AE7101"/>
    <w:rsid w:val="00AE797C"/>
    <w:rsid w:val="00AF018A"/>
    <w:rsid w:val="00AF05ED"/>
    <w:rsid w:val="00AF09D4"/>
    <w:rsid w:val="00AF14B5"/>
    <w:rsid w:val="00AF3341"/>
    <w:rsid w:val="00AF3C41"/>
    <w:rsid w:val="00AF4A34"/>
    <w:rsid w:val="00AF631C"/>
    <w:rsid w:val="00AF64EE"/>
    <w:rsid w:val="00AF679D"/>
    <w:rsid w:val="00B001B4"/>
    <w:rsid w:val="00B0195D"/>
    <w:rsid w:val="00B02302"/>
    <w:rsid w:val="00B023AD"/>
    <w:rsid w:val="00B0242B"/>
    <w:rsid w:val="00B025E7"/>
    <w:rsid w:val="00B03FAC"/>
    <w:rsid w:val="00B0422F"/>
    <w:rsid w:val="00B0432F"/>
    <w:rsid w:val="00B051B4"/>
    <w:rsid w:val="00B0574B"/>
    <w:rsid w:val="00B05797"/>
    <w:rsid w:val="00B0655E"/>
    <w:rsid w:val="00B071AD"/>
    <w:rsid w:val="00B0734B"/>
    <w:rsid w:val="00B07587"/>
    <w:rsid w:val="00B07E1C"/>
    <w:rsid w:val="00B10768"/>
    <w:rsid w:val="00B11A82"/>
    <w:rsid w:val="00B13BB8"/>
    <w:rsid w:val="00B15EC0"/>
    <w:rsid w:val="00B16554"/>
    <w:rsid w:val="00B172B8"/>
    <w:rsid w:val="00B208AF"/>
    <w:rsid w:val="00B20931"/>
    <w:rsid w:val="00B20D68"/>
    <w:rsid w:val="00B211CE"/>
    <w:rsid w:val="00B214E8"/>
    <w:rsid w:val="00B23811"/>
    <w:rsid w:val="00B2428E"/>
    <w:rsid w:val="00B24A58"/>
    <w:rsid w:val="00B24BA8"/>
    <w:rsid w:val="00B24FF1"/>
    <w:rsid w:val="00B25A7A"/>
    <w:rsid w:val="00B26AEE"/>
    <w:rsid w:val="00B26F2F"/>
    <w:rsid w:val="00B305CC"/>
    <w:rsid w:val="00B3083D"/>
    <w:rsid w:val="00B30BDF"/>
    <w:rsid w:val="00B31FE7"/>
    <w:rsid w:val="00B325ED"/>
    <w:rsid w:val="00B33A9A"/>
    <w:rsid w:val="00B33DB7"/>
    <w:rsid w:val="00B33DDA"/>
    <w:rsid w:val="00B3450E"/>
    <w:rsid w:val="00B3678D"/>
    <w:rsid w:val="00B36E7A"/>
    <w:rsid w:val="00B374B4"/>
    <w:rsid w:val="00B37CFE"/>
    <w:rsid w:val="00B40884"/>
    <w:rsid w:val="00B40A11"/>
    <w:rsid w:val="00B4129C"/>
    <w:rsid w:val="00B4278A"/>
    <w:rsid w:val="00B43AD5"/>
    <w:rsid w:val="00B445E4"/>
    <w:rsid w:val="00B447DE"/>
    <w:rsid w:val="00B45AFD"/>
    <w:rsid w:val="00B47961"/>
    <w:rsid w:val="00B5153F"/>
    <w:rsid w:val="00B523BB"/>
    <w:rsid w:val="00B52480"/>
    <w:rsid w:val="00B531B4"/>
    <w:rsid w:val="00B543B3"/>
    <w:rsid w:val="00B54867"/>
    <w:rsid w:val="00B55B03"/>
    <w:rsid w:val="00B56B26"/>
    <w:rsid w:val="00B56FB5"/>
    <w:rsid w:val="00B57A06"/>
    <w:rsid w:val="00B608D4"/>
    <w:rsid w:val="00B60C48"/>
    <w:rsid w:val="00B61E3A"/>
    <w:rsid w:val="00B62551"/>
    <w:rsid w:val="00B6404A"/>
    <w:rsid w:val="00B64315"/>
    <w:rsid w:val="00B65231"/>
    <w:rsid w:val="00B656A8"/>
    <w:rsid w:val="00B65EC9"/>
    <w:rsid w:val="00B706D3"/>
    <w:rsid w:val="00B707E4"/>
    <w:rsid w:val="00B711FD"/>
    <w:rsid w:val="00B7159F"/>
    <w:rsid w:val="00B71844"/>
    <w:rsid w:val="00B733DB"/>
    <w:rsid w:val="00B75840"/>
    <w:rsid w:val="00B75A69"/>
    <w:rsid w:val="00B762DE"/>
    <w:rsid w:val="00B7701A"/>
    <w:rsid w:val="00B7769A"/>
    <w:rsid w:val="00B7786D"/>
    <w:rsid w:val="00B81190"/>
    <w:rsid w:val="00B82250"/>
    <w:rsid w:val="00B82730"/>
    <w:rsid w:val="00B83ADC"/>
    <w:rsid w:val="00B84174"/>
    <w:rsid w:val="00B86492"/>
    <w:rsid w:val="00B866C9"/>
    <w:rsid w:val="00B87CDD"/>
    <w:rsid w:val="00B90157"/>
    <w:rsid w:val="00B902AE"/>
    <w:rsid w:val="00B90488"/>
    <w:rsid w:val="00B90786"/>
    <w:rsid w:val="00B9093A"/>
    <w:rsid w:val="00B90A77"/>
    <w:rsid w:val="00B916EA"/>
    <w:rsid w:val="00B93255"/>
    <w:rsid w:val="00B93E9F"/>
    <w:rsid w:val="00B93EB4"/>
    <w:rsid w:val="00B93FE8"/>
    <w:rsid w:val="00B95697"/>
    <w:rsid w:val="00B9660A"/>
    <w:rsid w:val="00B970C9"/>
    <w:rsid w:val="00BA08F1"/>
    <w:rsid w:val="00BA0AB7"/>
    <w:rsid w:val="00BA2F9D"/>
    <w:rsid w:val="00BA3B24"/>
    <w:rsid w:val="00BA3D1B"/>
    <w:rsid w:val="00BA4976"/>
    <w:rsid w:val="00BA60C1"/>
    <w:rsid w:val="00BA7BE9"/>
    <w:rsid w:val="00BB11A0"/>
    <w:rsid w:val="00BB1874"/>
    <w:rsid w:val="00BB231B"/>
    <w:rsid w:val="00BB5427"/>
    <w:rsid w:val="00BB610A"/>
    <w:rsid w:val="00BB62B5"/>
    <w:rsid w:val="00BB6920"/>
    <w:rsid w:val="00BB7764"/>
    <w:rsid w:val="00BC02C0"/>
    <w:rsid w:val="00BC120F"/>
    <w:rsid w:val="00BC13B9"/>
    <w:rsid w:val="00BC1F07"/>
    <w:rsid w:val="00BC2DF4"/>
    <w:rsid w:val="00BC3F65"/>
    <w:rsid w:val="00BC512F"/>
    <w:rsid w:val="00BC52EF"/>
    <w:rsid w:val="00BC6ED1"/>
    <w:rsid w:val="00BC7242"/>
    <w:rsid w:val="00BC73FD"/>
    <w:rsid w:val="00BC743E"/>
    <w:rsid w:val="00BC77AF"/>
    <w:rsid w:val="00BD0772"/>
    <w:rsid w:val="00BD0E44"/>
    <w:rsid w:val="00BD175F"/>
    <w:rsid w:val="00BD2851"/>
    <w:rsid w:val="00BD29FB"/>
    <w:rsid w:val="00BD2AB8"/>
    <w:rsid w:val="00BD52ED"/>
    <w:rsid w:val="00BD5AB0"/>
    <w:rsid w:val="00BD5F16"/>
    <w:rsid w:val="00BD652B"/>
    <w:rsid w:val="00BD70B1"/>
    <w:rsid w:val="00BD724F"/>
    <w:rsid w:val="00BD74E2"/>
    <w:rsid w:val="00BD7513"/>
    <w:rsid w:val="00BE013C"/>
    <w:rsid w:val="00BE0717"/>
    <w:rsid w:val="00BE0E7F"/>
    <w:rsid w:val="00BE10F0"/>
    <w:rsid w:val="00BE2024"/>
    <w:rsid w:val="00BE2A69"/>
    <w:rsid w:val="00BE382D"/>
    <w:rsid w:val="00BE4519"/>
    <w:rsid w:val="00BE4A34"/>
    <w:rsid w:val="00BE54C3"/>
    <w:rsid w:val="00BE6521"/>
    <w:rsid w:val="00BE79A0"/>
    <w:rsid w:val="00BF0280"/>
    <w:rsid w:val="00BF0317"/>
    <w:rsid w:val="00BF1B3B"/>
    <w:rsid w:val="00BF2A3F"/>
    <w:rsid w:val="00BF2BB2"/>
    <w:rsid w:val="00BF2C92"/>
    <w:rsid w:val="00BF30D5"/>
    <w:rsid w:val="00BF33BF"/>
    <w:rsid w:val="00BF378B"/>
    <w:rsid w:val="00BF3E4C"/>
    <w:rsid w:val="00BF3EFB"/>
    <w:rsid w:val="00BF603D"/>
    <w:rsid w:val="00BF69C9"/>
    <w:rsid w:val="00BF73B4"/>
    <w:rsid w:val="00BF7E9E"/>
    <w:rsid w:val="00C004C5"/>
    <w:rsid w:val="00C0051B"/>
    <w:rsid w:val="00C008A0"/>
    <w:rsid w:val="00C00A5D"/>
    <w:rsid w:val="00C010F6"/>
    <w:rsid w:val="00C017DD"/>
    <w:rsid w:val="00C01E89"/>
    <w:rsid w:val="00C01EB2"/>
    <w:rsid w:val="00C022CF"/>
    <w:rsid w:val="00C02E23"/>
    <w:rsid w:val="00C03314"/>
    <w:rsid w:val="00C035C7"/>
    <w:rsid w:val="00C03E0E"/>
    <w:rsid w:val="00C0506D"/>
    <w:rsid w:val="00C05F90"/>
    <w:rsid w:val="00C10791"/>
    <w:rsid w:val="00C1244D"/>
    <w:rsid w:val="00C12C6D"/>
    <w:rsid w:val="00C13805"/>
    <w:rsid w:val="00C13907"/>
    <w:rsid w:val="00C13F65"/>
    <w:rsid w:val="00C14145"/>
    <w:rsid w:val="00C14A7D"/>
    <w:rsid w:val="00C15B78"/>
    <w:rsid w:val="00C17793"/>
    <w:rsid w:val="00C17EDC"/>
    <w:rsid w:val="00C17FEE"/>
    <w:rsid w:val="00C207AC"/>
    <w:rsid w:val="00C207DF"/>
    <w:rsid w:val="00C2269B"/>
    <w:rsid w:val="00C23FF3"/>
    <w:rsid w:val="00C25448"/>
    <w:rsid w:val="00C25EDF"/>
    <w:rsid w:val="00C262B5"/>
    <w:rsid w:val="00C264BF"/>
    <w:rsid w:val="00C26897"/>
    <w:rsid w:val="00C26C34"/>
    <w:rsid w:val="00C2703B"/>
    <w:rsid w:val="00C27315"/>
    <w:rsid w:val="00C27E37"/>
    <w:rsid w:val="00C304FC"/>
    <w:rsid w:val="00C3103B"/>
    <w:rsid w:val="00C31D20"/>
    <w:rsid w:val="00C32FDA"/>
    <w:rsid w:val="00C34123"/>
    <w:rsid w:val="00C35213"/>
    <w:rsid w:val="00C36A3D"/>
    <w:rsid w:val="00C36B68"/>
    <w:rsid w:val="00C36FEF"/>
    <w:rsid w:val="00C406ED"/>
    <w:rsid w:val="00C409A6"/>
    <w:rsid w:val="00C40A04"/>
    <w:rsid w:val="00C42A03"/>
    <w:rsid w:val="00C42F69"/>
    <w:rsid w:val="00C43ECF"/>
    <w:rsid w:val="00C43FC8"/>
    <w:rsid w:val="00C45994"/>
    <w:rsid w:val="00C459DD"/>
    <w:rsid w:val="00C46686"/>
    <w:rsid w:val="00C466EE"/>
    <w:rsid w:val="00C47782"/>
    <w:rsid w:val="00C47F33"/>
    <w:rsid w:val="00C5016F"/>
    <w:rsid w:val="00C5074D"/>
    <w:rsid w:val="00C509D5"/>
    <w:rsid w:val="00C51065"/>
    <w:rsid w:val="00C512F9"/>
    <w:rsid w:val="00C5206F"/>
    <w:rsid w:val="00C52E12"/>
    <w:rsid w:val="00C555E6"/>
    <w:rsid w:val="00C562B1"/>
    <w:rsid w:val="00C61279"/>
    <w:rsid w:val="00C63B73"/>
    <w:rsid w:val="00C6468C"/>
    <w:rsid w:val="00C6593A"/>
    <w:rsid w:val="00C66484"/>
    <w:rsid w:val="00C6737F"/>
    <w:rsid w:val="00C67E99"/>
    <w:rsid w:val="00C71403"/>
    <w:rsid w:val="00C71848"/>
    <w:rsid w:val="00C72A82"/>
    <w:rsid w:val="00C7353B"/>
    <w:rsid w:val="00C742BB"/>
    <w:rsid w:val="00C75543"/>
    <w:rsid w:val="00C7679D"/>
    <w:rsid w:val="00C767A1"/>
    <w:rsid w:val="00C800C9"/>
    <w:rsid w:val="00C80156"/>
    <w:rsid w:val="00C80570"/>
    <w:rsid w:val="00C817BA"/>
    <w:rsid w:val="00C81A4B"/>
    <w:rsid w:val="00C82170"/>
    <w:rsid w:val="00C8253D"/>
    <w:rsid w:val="00C82B0D"/>
    <w:rsid w:val="00C83307"/>
    <w:rsid w:val="00C83BED"/>
    <w:rsid w:val="00C84042"/>
    <w:rsid w:val="00C845BB"/>
    <w:rsid w:val="00C846CF"/>
    <w:rsid w:val="00C8472A"/>
    <w:rsid w:val="00C85527"/>
    <w:rsid w:val="00C855A9"/>
    <w:rsid w:val="00C862D8"/>
    <w:rsid w:val="00C86499"/>
    <w:rsid w:val="00C86A13"/>
    <w:rsid w:val="00C870D0"/>
    <w:rsid w:val="00C87115"/>
    <w:rsid w:val="00C906CE"/>
    <w:rsid w:val="00C9118A"/>
    <w:rsid w:val="00C912B1"/>
    <w:rsid w:val="00C9167C"/>
    <w:rsid w:val="00C91F31"/>
    <w:rsid w:val="00C921CA"/>
    <w:rsid w:val="00C93A74"/>
    <w:rsid w:val="00C93F81"/>
    <w:rsid w:val="00C94023"/>
    <w:rsid w:val="00C9471B"/>
    <w:rsid w:val="00C94C3E"/>
    <w:rsid w:val="00C95579"/>
    <w:rsid w:val="00C95589"/>
    <w:rsid w:val="00C9655E"/>
    <w:rsid w:val="00C9656E"/>
    <w:rsid w:val="00C966E0"/>
    <w:rsid w:val="00C96BB6"/>
    <w:rsid w:val="00C9708E"/>
    <w:rsid w:val="00C9765B"/>
    <w:rsid w:val="00C97C80"/>
    <w:rsid w:val="00CA0BCA"/>
    <w:rsid w:val="00CA1BEE"/>
    <w:rsid w:val="00CA1C6A"/>
    <w:rsid w:val="00CA2142"/>
    <w:rsid w:val="00CA297D"/>
    <w:rsid w:val="00CA2EB6"/>
    <w:rsid w:val="00CA2F6C"/>
    <w:rsid w:val="00CA3590"/>
    <w:rsid w:val="00CA3663"/>
    <w:rsid w:val="00CA39FD"/>
    <w:rsid w:val="00CA3FEA"/>
    <w:rsid w:val="00CA4BDC"/>
    <w:rsid w:val="00CA4BE5"/>
    <w:rsid w:val="00CA56B6"/>
    <w:rsid w:val="00CA5BFB"/>
    <w:rsid w:val="00CA6421"/>
    <w:rsid w:val="00CA7613"/>
    <w:rsid w:val="00CA7C50"/>
    <w:rsid w:val="00CA7D48"/>
    <w:rsid w:val="00CB0621"/>
    <w:rsid w:val="00CB06F6"/>
    <w:rsid w:val="00CB1493"/>
    <w:rsid w:val="00CB27EA"/>
    <w:rsid w:val="00CB2976"/>
    <w:rsid w:val="00CB2C76"/>
    <w:rsid w:val="00CB534F"/>
    <w:rsid w:val="00CB6233"/>
    <w:rsid w:val="00CB674A"/>
    <w:rsid w:val="00CC02DC"/>
    <w:rsid w:val="00CC08C0"/>
    <w:rsid w:val="00CC0CE7"/>
    <w:rsid w:val="00CC268B"/>
    <w:rsid w:val="00CC26BD"/>
    <w:rsid w:val="00CC297C"/>
    <w:rsid w:val="00CC32A9"/>
    <w:rsid w:val="00CC37CB"/>
    <w:rsid w:val="00CC3A63"/>
    <w:rsid w:val="00CC6C7B"/>
    <w:rsid w:val="00CC6DA8"/>
    <w:rsid w:val="00CC7799"/>
    <w:rsid w:val="00CD06C8"/>
    <w:rsid w:val="00CD182B"/>
    <w:rsid w:val="00CD26F3"/>
    <w:rsid w:val="00CD286C"/>
    <w:rsid w:val="00CD2AC1"/>
    <w:rsid w:val="00CD36D5"/>
    <w:rsid w:val="00CD485C"/>
    <w:rsid w:val="00CD501B"/>
    <w:rsid w:val="00CD607A"/>
    <w:rsid w:val="00CD6451"/>
    <w:rsid w:val="00CD651B"/>
    <w:rsid w:val="00CD706C"/>
    <w:rsid w:val="00CE00FE"/>
    <w:rsid w:val="00CE037B"/>
    <w:rsid w:val="00CE0EFB"/>
    <w:rsid w:val="00CE17F6"/>
    <w:rsid w:val="00CE226D"/>
    <w:rsid w:val="00CE24EC"/>
    <w:rsid w:val="00CE2526"/>
    <w:rsid w:val="00CE40B4"/>
    <w:rsid w:val="00CE41E3"/>
    <w:rsid w:val="00CE490F"/>
    <w:rsid w:val="00CE583A"/>
    <w:rsid w:val="00CE5980"/>
    <w:rsid w:val="00CE5C57"/>
    <w:rsid w:val="00CE6AB2"/>
    <w:rsid w:val="00CE7DDF"/>
    <w:rsid w:val="00CE7F3E"/>
    <w:rsid w:val="00CF1237"/>
    <w:rsid w:val="00CF332E"/>
    <w:rsid w:val="00CF357A"/>
    <w:rsid w:val="00CF4005"/>
    <w:rsid w:val="00CF4175"/>
    <w:rsid w:val="00CF4F26"/>
    <w:rsid w:val="00CF5405"/>
    <w:rsid w:val="00CF6247"/>
    <w:rsid w:val="00CF6737"/>
    <w:rsid w:val="00CF6B76"/>
    <w:rsid w:val="00CF6BD0"/>
    <w:rsid w:val="00D002CB"/>
    <w:rsid w:val="00D005B8"/>
    <w:rsid w:val="00D00ED9"/>
    <w:rsid w:val="00D014DE"/>
    <w:rsid w:val="00D01D59"/>
    <w:rsid w:val="00D02DE0"/>
    <w:rsid w:val="00D03319"/>
    <w:rsid w:val="00D03AD1"/>
    <w:rsid w:val="00D05647"/>
    <w:rsid w:val="00D06237"/>
    <w:rsid w:val="00D072FC"/>
    <w:rsid w:val="00D074EA"/>
    <w:rsid w:val="00D07A85"/>
    <w:rsid w:val="00D07AF2"/>
    <w:rsid w:val="00D10FAF"/>
    <w:rsid w:val="00D110D8"/>
    <w:rsid w:val="00D11514"/>
    <w:rsid w:val="00D1261A"/>
    <w:rsid w:val="00D13450"/>
    <w:rsid w:val="00D14084"/>
    <w:rsid w:val="00D16EF9"/>
    <w:rsid w:val="00D16F28"/>
    <w:rsid w:val="00D173FA"/>
    <w:rsid w:val="00D2009C"/>
    <w:rsid w:val="00D20500"/>
    <w:rsid w:val="00D209B3"/>
    <w:rsid w:val="00D20A9F"/>
    <w:rsid w:val="00D20B36"/>
    <w:rsid w:val="00D22330"/>
    <w:rsid w:val="00D22ED5"/>
    <w:rsid w:val="00D24549"/>
    <w:rsid w:val="00D2495A"/>
    <w:rsid w:val="00D24D41"/>
    <w:rsid w:val="00D2521A"/>
    <w:rsid w:val="00D271BA"/>
    <w:rsid w:val="00D30B4D"/>
    <w:rsid w:val="00D30C9B"/>
    <w:rsid w:val="00D3139D"/>
    <w:rsid w:val="00D32930"/>
    <w:rsid w:val="00D32B55"/>
    <w:rsid w:val="00D34198"/>
    <w:rsid w:val="00D34E15"/>
    <w:rsid w:val="00D35C1C"/>
    <w:rsid w:val="00D36509"/>
    <w:rsid w:val="00D36B5D"/>
    <w:rsid w:val="00D37915"/>
    <w:rsid w:val="00D40444"/>
    <w:rsid w:val="00D4070B"/>
    <w:rsid w:val="00D40CC5"/>
    <w:rsid w:val="00D41035"/>
    <w:rsid w:val="00D42B6F"/>
    <w:rsid w:val="00D42C5C"/>
    <w:rsid w:val="00D42C65"/>
    <w:rsid w:val="00D43D1F"/>
    <w:rsid w:val="00D44CC3"/>
    <w:rsid w:val="00D44D3E"/>
    <w:rsid w:val="00D44F61"/>
    <w:rsid w:val="00D458E7"/>
    <w:rsid w:val="00D45E9B"/>
    <w:rsid w:val="00D46B08"/>
    <w:rsid w:val="00D46E2F"/>
    <w:rsid w:val="00D46FD0"/>
    <w:rsid w:val="00D479E7"/>
    <w:rsid w:val="00D505A6"/>
    <w:rsid w:val="00D50B0D"/>
    <w:rsid w:val="00D50D3A"/>
    <w:rsid w:val="00D5159C"/>
    <w:rsid w:val="00D52868"/>
    <w:rsid w:val="00D52CA2"/>
    <w:rsid w:val="00D52E97"/>
    <w:rsid w:val="00D53305"/>
    <w:rsid w:val="00D54C5E"/>
    <w:rsid w:val="00D54FAE"/>
    <w:rsid w:val="00D5545C"/>
    <w:rsid w:val="00D56C40"/>
    <w:rsid w:val="00D57351"/>
    <w:rsid w:val="00D57678"/>
    <w:rsid w:val="00D60DDB"/>
    <w:rsid w:val="00D61C26"/>
    <w:rsid w:val="00D62438"/>
    <w:rsid w:val="00D64172"/>
    <w:rsid w:val="00D64418"/>
    <w:rsid w:val="00D64517"/>
    <w:rsid w:val="00D64778"/>
    <w:rsid w:val="00D652CD"/>
    <w:rsid w:val="00D668BA"/>
    <w:rsid w:val="00D66DE5"/>
    <w:rsid w:val="00D66DF7"/>
    <w:rsid w:val="00D66ED7"/>
    <w:rsid w:val="00D673CE"/>
    <w:rsid w:val="00D6770E"/>
    <w:rsid w:val="00D67E76"/>
    <w:rsid w:val="00D701A5"/>
    <w:rsid w:val="00D7023A"/>
    <w:rsid w:val="00D70DBE"/>
    <w:rsid w:val="00D71469"/>
    <w:rsid w:val="00D72338"/>
    <w:rsid w:val="00D731E8"/>
    <w:rsid w:val="00D74EF5"/>
    <w:rsid w:val="00D74FCE"/>
    <w:rsid w:val="00D762D2"/>
    <w:rsid w:val="00D77923"/>
    <w:rsid w:val="00D77AC3"/>
    <w:rsid w:val="00D80CB3"/>
    <w:rsid w:val="00D81E7F"/>
    <w:rsid w:val="00D82DC1"/>
    <w:rsid w:val="00D839C3"/>
    <w:rsid w:val="00D844D8"/>
    <w:rsid w:val="00D84555"/>
    <w:rsid w:val="00D850E7"/>
    <w:rsid w:val="00D853CE"/>
    <w:rsid w:val="00D85853"/>
    <w:rsid w:val="00D85E2F"/>
    <w:rsid w:val="00D87AC5"/>
    <w:rsid w:val="00D922CC"/>
    <w:rsid w:val="00D9249D"/>
    <w:rsid w:val="00D9269B"/>
    <w:rsid w:val="00D929AB"/>
    <w:rsid w:val="00D92A0F"/>
    <w:rsid w:val="00D94810"/>
    <w:rsid w:val="00D949D5"/>
    <w:rsid w:val="00D95848"/>
    <w:rsid w:val="00D95C77"/>
    <w:rsid w:val="00D95E7B"/>
    <w:rsid w:val="00D960CF"/>
    <w:rsid w:val="00D964C6"/>
    <w:rsid w:val="00D968D9"/>
    <w:rsid w:val="00D97821"/>
    <w:rsid w:val="00DA0E4B"/>
    <w:rsid w:val="00DA0E8C"/>
    <w:rsid w:val="00DA1202"/>
    <w:rsid w:val="00DA1A2B"/>
    <w:rsid w:val="00DA1A92"/>
    <w:rsid w:val="00DA1AC1"/>
    <w:rsid w:val="00DA1D8A"/>
    <w:rsid w:val="00DA1E64"/>
    <w:rsid w:val="00DA3323"/>
    <w:rsid w:val="00DA3407"/>
    <w:rsid w:val="00DA374D"/>
    <w:rsid w:val="00DA4075"/>
    <w:rsid w:val="00DA4E53"/>
    <w:rsid w:val="00DA5755"/>
    <w:rsid w:val="00DA669A"/>
    <w:rsid w:val="00DA66CF"/>
    <w:rsid w:val="00DA6E30"/>
    <w:rsid w:val="00DA73CE"/>
    <w:rsid w:val="00DA77DC"/>
    <w:rsid w:val="00DA7A07"/>
    <w:rsid w:val="00DB04FE"/>
    <w:rsid w:val="00DB0812"/>
    <w:rsid w:val="00DB31F2"/>
    <w:rsid w:val="00DB32D0"/>
    <w:rsid w:val="00DB3D56"/>
    <w:rsid w:val="00DB3EFC"/>
    <w:rsid w:val="00DB5284"/>
    <w:rsid w:val="00DB575F"/>
    <w:rsid w:val="00DB6EE0"/>
    <w:rsid w:val="00DB72B2"/>
    <w:rsid w:val="00DB7DFB"/>
    <w:rsid w:val="00DC1ED8"/>
    <w:rsid w:val="00DC25F7"/>
    <w:rsid w:val="00DC2F07"/>
    <w:rsid w:val="00DC3300"/>
    <w:rsid w:val="00DC3D1A"/>
    <w:rsid w:val="00DC412B"/>
    <w:rsid w:val="00DC473B"/>
    <w:rsid w:val="00DC56BA"/>
    <w:rsid w:val="00DD1314"/>
    <w:rsid w:val="00DD2098"/>
    <w:rsid w:val="00DD212C"/>
    <w:rsid w:val="00DD2362"/>
    <w:rsid w:val="00DD4E3B"/>
    <w:rsid w:val="00DD711C"/>
    <w:rsid w:val="00DE077A"/>
    <w:rsid w:val="00DE08BA"/>
    <w:rsid w:val="00DE091D"/>
    <w:rsid w:val="00DE21D0"/>
    <w:rsid w:val="00DE25D3"/>
    <w:rsid w:val="00DE3810"/>
    <w:rsid w:val="00DE50DC"/>
    <w:rsid w:val="00DE62C9"/>
    <w:rsid w:val="00DE73BB"/>
    <w:rsid w:val="00DE7433"/>
    <w:rsid w:val="00DE7442"/>
    <w:rsid w:val="00DE7944"/>
    <w:rsid w:val="00DE7FCE"/>
    <w:rsid w:val="00DF03C8"/>
    <w:rsid w:val="00DF16C8"/>
    <w:rsid w:val="00DF2589"/>
    <w:rsid w:val="00DF3DEC"/>
    <w:rsid w:val="00DF7511"/>
    <w:rsid w:val="00DF77BB"/>
    <w:rsid w:val="00E00D75"/>
    <w:rsid w:val="00E011C2"/>
    <w:rsid w:val="00E01C04"/>
    <w:rsid w:val="00E01C86"/>
    <w:rsid w:val="00E01D79"/>
    <w:rsid w:val="00E020DD"/>
    <w:rsid w:val="00E023A2"/>
    <w:rsid w:val="00E024F6"/>
    <w:rsid w:val="00E0294B"/>
    <w:rsid w:val="00E02C2C"/>
    <w:rsid w:val="00E04028"/>
    <w:rsid w:val="00E05005"/>
    <w:rsid w:val="00E0640B"/>
    <w:rsid w:val="00E07395"/>
    <w:rsid w:val="00E11686"/>
    <w:rsid w:val="00E130D9"/>
    <w:rsid w:val="00E14882"/>
    <w:rsid w:val="00E14C4E"/>
    <w:rsid w:val="00E15174"/>
    <w:rsid w:val="00E15B85"/>
    <w:rsid w:val="00E15CFC"/>
    <w:rsid w:val="00E15DF5"/>
    <w:rsid w:val="00E15ECA"/>
    <w:rsid w:val="00E15EE0"/>
    <w:rsid w:val="00E15F56"/>
    <w:rsid w:val="00E164E6"/>
    <w:rsid w:val="00E16B65"/>
    <w:rsid w:val="00E17A20"/>
    <w:rsid w:val="00E21B12"/>
    <w:rsid w:val="00E235BE"/>
    <w:rsid w:val="00E24CE7"/>
    <w:rsid w:val="00E24D5B"/>
    <w:rsid w:val="00E25832"/>
    <w:rsid w:val="00E2639F"/>
    <w:rsid w:val="00E27461"/>
    <w:rsid w:val="00E3020C"/>
    <w:rsid w:val="00E306B1"/>
    <w:rsid w:val="00E31EE1"/>
    <w:rsid w:val="00E32089"/>
    <w:rsid w:val="00E3254C"/>
    <w:rsid w:val="00E32616"/>
    <w:rsid w:val="00E3421C"/>
    <w:rsid w:val="00E34346"/>
    <w:rsid w:val="00E343BF"/>
    <w:rsid w:val="00E371F7"/>
    <w:rsid w:val="00E374B7"/>
    <w:rsid w:val="00E37605"/>
    <w:rsid w:val="00E37EF6"/>
    <w:rsid w:val="00E40098"/>
    <w:rsid w:val="00E404F4"/>
    <w:rsid w:val="00E40C88"/>
    <w:rsid w:val="00E41156"/>
    <w:rsid w:val="00E411FC"/>
    <w:rsid w:val="00E41DA6"/>
    <w:rsid w:val="00E42358"/>
    <w:rsid w:val="00E432EE"/>
    <w:rsid w:val="00E43AD3"/>
    <w:rsid w:val="00E44274"/>
    <w:rsid w:val="00E447B5"/>
    <w:rsid w:val="00E44D51"/>
    <w:rsid w:val="00E458E1"/>
    <w:rsid w:val="00E46E7E"/>
    <w:rsid w:val="00E51BD5"/>
    <w:rsid w:val="00E52413"/>
    <w:rsid w:val="00E52C2D"/>
    <w:rsid w:val="00E52EFB"/>
    <w:rsid w:val="00E52F1D"/>
    <w:rsid w:val="00E534D4"/>
    <w:rsid w:val="00E54058"/>
    <w:rsid w:val="00E54B21"/>
    <w:rsid w:val="00E5591E"/>
    <w:rsid w:val="00E56114"/>
    <w:rsid w:val="00E564B3"/>
    <w:rsid w:val="00E57C84"/>
    <w:rsid w:val="00E6022B"/>
    <w:rsid w:val="00E6051B"/>
    <w:rsid w:val="00E61990"/>
    <w:rsid w:val="00E61F08"/>
    <w:rsid w:val="00E62057"/>
    <w:rsid w:val="00E6223E"/>
    <w:rsid w:val="00E6307C"/>
    <w:rsid w:val="00E649DB"/>
    <w:rsid w:val="00E64C67"/>
    <w:rsid w:val="00E65B2E"/>
    <w:rsid w:val="00E6719C"/>
    <w:rsid w:val="00E67B64"/>
    <w:rsid w:val="00E70368"/>
    <w:rsid w:val="00E713CB"/>
    <w:rsid w:val="00E716A8"/>
    <w:rsid w:val="00E7384E"/>
    <w:rsid w:val="00E743A5"/>
    <w:rsid w:val="00E748A3"/>
    <w:rsid w:val="00E76497"/>
    <w:rsid w:val="00E76A7F"/>
    <w:rsid w:val="00E77D34"/>
    <w:rsid w:val="00E80795"/>
    <w:rsid w:val="00E82FDC"/>
    <w:rsid w:val="00E84943"/>
    <w:rsid w:val="00E85670"/>
    <w:rsid w:val="00E87057"/>
    <w:rsid w:val="00E87A31"/>
    <w:rsid w:val="00E90824"/>
    <w:rsid w:val="00E90858"/>
    <w:rsid w:val="00E91873"/>
    <w:rsid w:val="00E91B00"/>
    <w:rsid w:val="00E93355"/>
    <w:rsid w:val="00E936D8"/>
    <w:rsid w:val="00E9386A"/>
    <w:rsid w:val="00E93D0E"/>
    <w:rsid w:val="00E942C6"/>
    <w:rsid w:val="00E943ED"/>
    <w:rsid w:val="00E9489B"/>
    <w:rsid w:val="00E94A12"/>
    <w:rsid w:val="00E94B77"/>
    <w:rsid w:val="00E94D95"/>
    <w:rsid w:val="00E958CD"/>
    <w:rsid w:val="00E95ABF"/>
    <w:rsid w:val="00E9694C"/>
    <w:rsid w:val="00E97763"/>
    <w:rsid w:val="00EA00A8"/>
    <w:rsid w:val="00EA0706"/>
    <w:rsid w:val="00EA0C27"/>
    <w:rsid w:val="00EA0E53"/>
    <w:rsid w:val="00EA2106"/>
    <w:rsid w:val="00EA29B6"/>
    <w:rsid w:val="00EA2DFD"/>
    <w:rsid w:val="00EA32EC"/>
    <w:rsid w:val="00EA334E"/>
    <w:rsid w:val="00EA3A5F"/>
    <w:rsid w:val="00EA3C8D"/>
    <w:rsid w:val="00EA4164"/>
    <w:rsid w:val="00EA46CE"/>
    <w:rsid w:val="00EA50A7"/>
    <w:rsid w:val="00EA5237"/>
    <w:rsid w:val="00EA53F4"/>
    <w:rsid w:val="00EA62C0"/>
    <w:rsid w:val="00EA6307"/>
    <w:rsid w:val="00EA641C"/>
    <w:rsid w:val="00EA7551"/>
    <w:rsid w:val="00EB0054"/>
    <w:rsid w:val="00EB054E"/>
    <w:rsid w:val="00EB082C"/>
    <w:rsid w:val="00EB0846"/>
    <w:rsid w:val="00EB1198"/>
    <w:rsid w:val="00EB1634"/>
    <w:rsid w:val="00EB1A22"/>
    <w:rsid w:val="00EB2539"/>
    <w:rsid w:val="00EB25C3"/>
    <w:rsid w:val="00EB3CA8"/>
    <w:rsid w:val="00EB3F0B"/>
    <w:rsid w:val="00EB49AA"/>
    <w:rsid w:val="00EB4D34"/>
    <w:rsid w:val="00EB5DB5"/>
    <w:rsid w:val="00EB6714"/>
    <w:rsid w:val="00EB6E8F"/>
    <w:rsid w:val="00EB718A"/>
    <w:rsid w:val="00EB735F"/>
    <w:rsid w:val="00EB77A0"/>
    <w:rsid w:val="00EB78C1"/>
    <w:rsid w:val="00EC08A6"/>
    <w:rsid w:val="00EC0F4C"/>
    <w:rsid w:val="00EC0FD3"/>
    <w:rsid w:val="00EC195C"/>
    <w:rsid w:val="00EC1E0D"/>
    <w:rsid w:val="00EC3031"/>
    <w:rsid w:val="00EC3181"/>
    <w:rsid w:val="00EC3599"/>
    <w:rsid w:val="00EC3D5A"/>
    <w:rsid w:val="00EC4BC5"/>
    <w:rsid w:val="00EC5D0B"/>
    <w:rsid w:val="00EC6092"/>
    <w:rsid w:val="00EC6311"/>
    <w:rsid w:val="00EC666C"/>
    <w:rsid w:val="00ED0AC1"/>
    <w:rsid w:val="00ED10F6"/>
    <w:rsid w:val="00ED17D3"/>
    <w:rsid w:val="00ED18EA"/>
    <w:rsid w:val="00ED2659"/>
    <w:rsid w:val="00ED38ED"/>
    <w:rsid w:val="00ED4A85"/>
    <w:rsid w:val="00ED58C3"/>
    <w:rsid w:val="00ED5CE7"/>
    <w:rsid w:val="00EE0DCE"/>
    <w:rsid w:val="00EE1A5D"/>
    <w:rsid w:val="00EE1D87"/>
    <w:rsid w:val="00EE22CE"/>
    <w:rsid w:val="00EE23FE"/>
    <w:rsid w:val="00EE2695"/>
    <w:rsid w:val="00EE3929"/>
    <w:rsid w:val="00EE3A73"/>
    <w:rsid w:val="00EE3ED0"/>
    <w:rsid w:val="00EE47CC"/>
    <w:rsid w:val="00EE4959"/>
    <w:rsid w:val="00EE57BB"/>
    <w:rsid w:val="00EE6900"/>
    <w:rsid w:val="00EF033D"/>
    <w:rsid w:val="00EF10BE"/>
    <w:rsid w:val="00EF164B"/>
    <w:rsid w:val="00EF3711"/>
    <w:rsid w:val="00EF3F2A"/>
    <w:rsid w:val="00EF41BE"/>
    <w:rsid w:val="00EF4706"/>
    <w:rsid w:val="00EF53C8"/>
    <w:rsid w:val="00EF56FD"/>
    <w:rsid w:val="00EF66D1"/>
    <w:rsid w:val="00EF74A3"/>
    <w:rsid w:val="00EF76B0"/>
    <w:rsid w:val="00EF7D2F"/>
    <w:rsid w:val="00F00CF1"/>
    <w:rsid w:val="00F014B1"/>
    <w:rsid w:val="00F019BB"/>
    <w:rsid w:val="00F020C8"/>
    <w:rsid w:val="00F034F1"/>
    <w:rsid w:val="00F03FC2"/>
    <w:rsid w:val="00F042A6"/>
    <w:rsid w:val="00F04CEE"/>
    <w:rsid w:val="00F04F8C"/>
    <w:rsid w:val="00F06570"/>
    <w:rsid w:val="00F06821"/>
    <w:rsid w:val="00F070C2"/>
    <w:rsid w:val="00F07A79"/>
    <w:rsid w:val="00F07BAB"/>
    <w:rsid w:val="00F07D00"/>
    <w:rsid w:val="00F07E6C"/>
    <w:rsid w:val="00F1120E"/>
    <w:rsid w:val="00F11F54"/>
    <w:rsid w:val="00F1242C"/>
    <w:rsid w:val="00F12875"/>
    <w:rsid w:val="00F13577"/>
    <w:rsid w:val="00F139C3"/>
    <w:rsid w:val="00F13A43"/>
    <w:rsid w:val="00F140BE"/>
    <w:rsid w:val="00F1484F"/>
    <w:rsid w:val="00F15181"/>
    <w:rsid w:val="00F1567D"/>
    <w:rsid w:val="00F1629F"/>
    <w:rsid w:val="00F173AE"/>
    <w:rsid w:val="00F17B06"/>
    <w:rsid w:val="00F17E15"/>
    <w:rsid w:val="00F200A3"/>
    <w:rsid w:val="00F206EB"/>
    <w:rsid w:val="00F20730"/>
    <w:rsid w:val="00F2226D"/>
    <w:rsid w:val="00F24EA1"/>
    <w:rsid w:val="00F2717D"/>
    <w:rsid w:val="00F27477"/>
    <w:rsid w:val="00F27F97"/>
    <w:rsid w:val="00F30872"/>
    <w:rsid w:val="00F3091F"/>
    <w:rsid w:val="00F313BB"/>
    <w:rsid w:val="00F31664"/>
    <w:rsid w:val="00F339E8"/>
    <w:rsid w:val="00F34B2A"/>
    <w:rsid w:val="00F356A4"/>
    <w:rsid w:val="00F36660"/>
    <w:rsid w:val="00F37892"/>
    <w:rsid w:val="00F4006A"/>
    <w:rsid w:val="00F404E0"/>
    <w:rsid w:val="00F417D0"/>
    <w:rsid w:val="00F41F5D"/>
    <w:rsid w:val="00F438A3"/>
    <w:rsid w:val="00F44636"/>
    <w:rsid w:val="00F450DE"/>
    <w:rsid w:val="00F4589F"/>
    <w:rsid w:val="00F469A5"/>
    <w:rsid w:val="00F46C63"/>
    <w:rsid w:val="00F46DE4"/>
    <w:rsid w:val="00F47300"/>
    <w:rsid w:val="00F50324"/>
    <w:rsid w:val="00F50370"/>
    <w:rsid w:val="00F5117E"/>
    <w:rsid w:val="00F5218C"/>
    <w:rsid w:val="00F52C33"/>
    <w:rsid w:val="00F52C50"/>
    <w:rsid w:val="00F55784"/>
    <w:rsid w:val="00F5735E"/>
    <w:rsid w:val="00F60094"/>
    <w:rsid w:val="00F606E7"/>
    <w:rsid w:val="00F60882"/>
    <w:rsid w:val="00F60AF5"/>
    <w:rsid w:val="00F613C8"/>
    <w:rsid w:val="00F61D6E"/>
    <w:rsid w:val="00F649BE"/>
    <w:rsid w:val="00F64C53"/>
    <w:rsid w:val="00F66491"/>
    <w:rsid w:val="00F670DA"/>
    <w:rsid w:val="00F6711A"/>
    <w:rsid w:val="00F67BBF"/>
    <w:rsid w:val="00F706BF"/>
    <w:rsid w:val="00F710B1"/>
    <w:rsid w:val="00F71B06"/>
    <w:rsid w:val="00F71FC5"/>
    <w:rsid w:val="00F732E0"/>
    <w:rsid w:val="00F7341E"/>
    <w:rsid w:val="00F73D41"/>
    <w:rsid w:val="00F743D1"/>
    <w:rsid w:val="00F74417"/>
    <w:rsid w:val="00F74AC8"/>
    <w:rsid w:val="00F74C71"/>
    <w:rsid w:val="00F74E37"/>
    <w:rsid w:val="00F75445"/>
    <w:rsid w:val="00F76207"/>
    <w:rsid w:val="00F7792B"/>
    <w:rsid w:val="00F77B58"/>
    <w:rsid w:val="00F82561"/>
    <w:rsid w:val="00F84219"/>
    <w:rsid w:val="00F84633"/>
    <w:rsid w:val="00F84A7E"/>
    <w:rsid w:val="00F86BFD"/>
    <w:rsid w:val="00F905BB"/>
    <w:rsid w:val="00F916DA"/>
    <w:rsid w:val="00F91F70"/>
    <w:rsid w:val="00F92E8C"/>
    <w:rsid w:val="00F97077"/>
    <w:rsid w:val="00F971F3"/>
    <w:rsid w:val="00FA0C48"/>
    <w:rsid w:val="00FA0DB2"/>
    <w:rsid w:val="00FA14F8"/>
    <w:rsid w:val="00FA316A"/>
    <w:rsid w:val="00FA512A"/>
    <w:rsid w:val="00FA516B"/>
    <w:rsid w:val="00FA5FE8"/>
    <w:rsid w:val="00FA6051"/>
    <w:rsid w:val="00FA60D9"/>
    <w:rsid w:val="00FA6FB6"/>
    <w:rsid w:val="00FA747B"/>
    <w:rsid w:val="00FA7573"/>
    <w:rsid w:val="00FA7675"/>
    <w:rsid w:val="00FA7C38"/>
    <w:rsid w:val="00FB042A"/>
    <w:rsid w:val="00FB0A40"/>
    <w:rsid w:val="00FB0C35"/>
    <w:rsid w:val="00FB1411"/>
    <w:rsid w:val="00FB14DE"/>
    <w:rsid w:val="00FB200B"/>
    <w:rsid w:val="00FB211F"/>
    <w:rsid w:val="00FB2EAE"/>
    <w:rsid w:val="00FB322C"/>
    <w:rsid w:val="00FB3EBA"/>
    <w:rsid w:val="00FB440E"/>
    <w:rsid w:val="00FB5B09"/>
    <w:rsid w:val="00FB5EAA"/>
    <w:rsid w:val="00FB6667"/>
    <w:rsid w:val="00FB713E"/>
    <w:rsid w:val="00FB7637"/>
    <w:rsid w:val="00FC088F"/>
    <w:rsid w:val="00FC0CC1"/>
    <w:rsid w:val="00FC0CEB"/>
    <w:rsid w:val="00FC12F8"/>
    <w:rsid w:val="00FC156E"/>
    <w:rsid w:val="00FC1D19"/>
    <w:rsid w:val="00FC283C"/>
    <w:rsid w:val="00FC315B"/>
    <w:rsid w:val="00FC362F"/>
    <w:rsid w:val="00FC36F7"/>
    <w:rsid w:val="00FC4120"/>
    <w:rsid w:val="00FC4E14"/>
    <w:rsid w:val="00FC5E7F"/>
    <w:rsid w:val="00FC6681"/>
    <w:rsid w:val="00FC6E3D"/>
    <w:rsid w:val="00FC73FE"/>
    <w:rsid w:val="00FD0B2D"/>
    <w:rsid w:val="00FD0DE0"/>
    <w:rsid w:val="00FD12C5"/>
    <w:rsid w:val="00FD1C34"/>
    <w:rsid w:val="00FD499C"/>
    <w:rsid w:val="00FD4E98"/>
    <w:rsid w:val="00FD5E69"/>
    <w:rsid w:val="00FD5EE8"/>
    <w:rsid w:val="00FE1351"/>
    <w:rsid w:val="00FE2044"/>
    <w:rsid w:val="00FE24B5"/>
    <w:rsid w:val="00FE3717"/>
    <w:rsid w:val="00FE3787"/>
    <w:rsid w:val="00FE3EA0"/>
    <w:rsid w:val="00FE52EE"/>
    <w:rsid w:val="00FE54CE"/>
    <w:rsid w:val="00FE5784"/>
    <w:rsid w:val="00FE5D71"/>
    <w:rsid w:val="00FE5DAA"/>
    <w:rsid w:val="00FE605B"/>
    <w:rsid w:val="00FE672C"/>
    <w:rsid w:val="00FE70AC"/>
    <w:rsid w:val="00FE738C"/>
    <w:rsid w:val="00FE767F"/>
    <w:rsid w:val="00FF1280"/>
    <w:rsid w:val="00FF16D7"/>
    <w:rsid w:val="00FF17E2"/>
    <w:rsid w:val="00FF2A3D"/>
    <w:rsid w:val="00FF2C6B"/>
    <w:rsid w:val="00FF2FE7"/>
    <w:rsid w:val="00FF46E9"/>
    <w:rsid w:val="00FF4B60"/>
    <w:rsid w:val="00FF598C"/>
    <w:rsid w:val="00FF628E"/>
    <w:rsid w:val="00FF6377"/>
    <w:rsid w:val="00FF6C08"/>
    <w:rsid w:val="00FF72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報告內文"/>
    <w:qFormat/>
    <w:rsid w:val="0072793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character" w:customStyle="1" w:styleId="a4">
    <w:name w:val="(一)(二)(三) 字元"/>
    <w:rsid w:val="00513C54"/>
    <w:rPr>
      <w:rFonts w:ascii="標楷體" w:eastAsia="標楷體"/>
      <w:snapToGrid w:val="0"/>
      <w:kern w:val="2"/>
      <w:sz w:val="28"/>
      <w:szCs w:val="28"/>
      <w:lang w:val="en-US" w:eastAsia="zh-TW" w:bidi="ar-SA"/>
    </w:rPr>
  </w:style>
  <w:style w:type="paragraph" w:customStyle="1" w:styleId="a5">
    <w:name w:val="(一)下內文"/>
    <w:basedOn w:val="a"/>
    <w:link w:val="a6"/>
    <w:rsid w:val="001270BA"/>
    <w:pPr>
      <w:adjustRightInd w:val="0"/>
      <w:ind w:leftChars="300" w:left="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link w:val="ad"/>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
    <w:link w:val="21"/>
    <w:qFormat/>
    <w:pPr>
      <w:adjustRightInd w:val="0"/>
      <w:ind w:leftChars="300" w:left="300"/>
    </w:pPr>
  </w:style>
  <w:style w:type="character" w:styleId="ae">
    <w:name w:val="Hyperlink"/>
    <w:uiPriority w:val="99"/>
    <w:rPr>
      <w:color w:val="0000FF"/>
      <w:u w:val="single"/>
    </w:rPr>
  </w:style>
  <w:style w:type="paragraph" w:styleId="1">
    <w:name w:val="toc 1"/>
    <w:basedOn w:val="a"/>
    <w:next w:val="a"/>
    <w:autoRedefine/>
    <w:uiPriority w:val="39"/>
    <w:rsid w:val="008E7D65"/>
    <w:pPr>
      <w:tabs>
        <w:tab w:val="right" w:leader="hyphen" w:pos="8567"/>
      </w:tabs>
      <w:ind w:leftChars="0" w:left="487" w:hangingChars="200" w:hanging="487"/>
    </w:pPr>
    <w:rPr>
      <w:b/>
      <w:noProof/>
      <w:sz w:val="24"/>
    </w:rPr>
  </w:style>
  <w:style w:type="paragraph" w:styleId="22">
    <w:name w:val="toc 2"/>
    <w:basedOn w:val="a"/>
    <w:next w:val="a"/>
    <w:autoRedefine/>
    <w:uiPriority w:val="39"/>
    <w:rsid w:val="00055363"/>
    <w:pPr>
      <w:tabs>
        <w:tab w:val="right" w:leader="hyphen" w:pos="8567"/>
      </w:tabs>
      <w:ind w:leftChars="0" w:left="433" w:rightChars="77" w:right="218" w:hangingChars="178" w:hanging="433"/>
    </w:pPr>
    <w:rPr>
      <w:rFonts w:hAnsi="標楷體" w:cs="細明體"/>
      <w:noProof/>
      <w:sz w:val="24"/>
      <w:szCs w:val="24"/>
    </w:rPr>
  </w:style>
  <w:style w:type="paragraph" w:styleId="af">
    <w:name w:val="Body Text Indent"/>
    <w:basedOn w:val="a"/>
    <w:pPr>
      <w:ind w:left="567" w:firstLine="567"/>
    </w:pPr>
    <w:rPr>
      <w:rFonts w:hAnsi="標楷體"/>
    </w:rPr>
  </w:style>
  <w:style w:type="paragraph" w:styleId="3">
    <w:name w:val="toc 3"/>
    <w:basedOn w:val="a"/>
    <w:next w:val="a"/>
    <w:autoRedefine/>
    <w:semiHidden/>
    <w:pPr>
      <w:spacing w:line="240" w:lineRule="auto"/>
      <w:ind w:leftChars="400" w:left="960" w:firstLineChars="0" w:firstLine="0"/>
      <w:jc w:val="left"/>
    </w:pPr>
    <w:rPr>
      <w:rFonts w:ascii="Times New Roman" w:eastAsia="新細明體"/>
      <w:snapToGrid/>
      <w:sz w:val="24"/>
      <w:szCs w:val="24"/>
    </w:rPr>
  </w:style>
  <w:style w:type="paragraph" w:styleId="4">
    <w:name w:val="toc 4"/>
    <w:basedOn w:val="a"/>
    <w:next w:val="a"/>
    <w:autoRedefine/>
    <w:semiHidden/>
    <w:pPr>
      <w:spacing w:line="240" w:lineRule="auto"/>
      <w:ind w:leftChars="600" w:left="1440" w:firstLineChars="0" w:firstLine="0"/>
      <w:jc w:val="left"/>
    </w:pPr>
    <w:rPr>
      <w:rFonts w:ascii="Times New Roman" w:eastAsia="新細明體"/>
      <w:snapToGrid/>
      <w:sz w:val="24"/>
      <w:szCs w:val="24"/>
    </w:rPr>
  </w:style>
  <w:style w:type="paragraph" w:styleId="5">
    <w:name w:val="toc 5"/>
    <w:basedOn w:val="a"/>
    <w:next w:val="a"/>
    <w:autoRedefine/>
    <w:semiHidden/>
    <w:pPr>
      <w:spacing w:line="240" w:lineRule="auto"/>
      <w:ind w:leftChars="800" w:left="1920" w:firstLineChars="0" w:firstLine="0"/>
      <w:jc w:val="left"/>
    </w:pPr>
    <w:rPr>
      <w:rFonts w:ascii="Times New Roman" w:eastAsia="新細明體"/>
      <w:snapToGrid/>
      <w:sz w:val="24"/>
      <w:szCs w:val="24"/>
    </w:rPr>
  </w:style>
  <w:style w:type="paragraph" w:styleId="6">
    <w:name w:val="toc 6"/>
    <w:basedOn w:val="a"/>
    <w:next w:val="a"/>
    <w:autoRedefine/>
    <w:semiHidden/>
    <w:pPr>
      <w:spacing w:line="240" w:lineRule="auto"/>
      <w:ind w:leftChars="1000" w:left="2400" w:firstLineChars="0" w:firstLine="0"/>
      <w:jc w:val="left"/>
    </w:pPr>
    <w:rPr>
      <w:rFonts w:ascii="Times New Roman" w:eastAsia="新細明體"/>
      <w:snapToGrid/>
      <w:sz w:val="24"/>
      <w:szCs w:val="24"/>
    </w:rPr>
  </w:style>
  <w:style w:type="paragraph" w:styleId="7">
    <w:name w:val="toc 7"/>
    <w:basedOn w:val="a"/>
    <w:next w:val="a"/>
    <w:autoRedefine/>
    <w:semiHidden/>
    <w:pPr>
      <w:spacing w:line="240" w:lineRule="auto"/>
      <w:ind w:leftChars="1200" w:left="2880" w:firstLineChars="0" w:firstLine="0"/>
      <w:jc w:val="left"/>
    </w:pPr>
    <w:rPr>
      <w:rFonts w:ascii="Times New Roman" w:eastAsia="新細明體"/>
      <w:snapToGrid/>
      <w:sz w:val="24"/>
      <w:szCs w:val="24"/>
    </w:rPr>
  </w:style>
  <w:style w:type="paragraph" w:styleId="8">
    <w:name w:val="toc 8"/>
    <w:basedOn w:val="a"/>
    <w:next w:val="a"/>
    <w:autoRedefine/>
    <w:semiHidden/>
    <w:pPr>
      <w:spacing w:line="240" w:lineRule="auto"/>
      <w:ind w:leftChars="1400" w:left="3360" w:firstLineChars="0" w:firstLine="0"/>
      <w:jc w:val="left"/>
    </w:pPr>
    <w:rPr>
      <w:rFonts w:ascii="Times New Roman" w:eastAsia="新細明體"/>
      <w:snapToGrid/>
      <w:sz w:val="24"/>
      <w:szCs w:val="24"/>
    </w:rPr>
  </w:style>
  <w:style w:type="paragraph" w:styleId="9">
    <w:name w:val="toc 9"/>
    <w:basedOn w:val="a"/>
    <w:next w:val="a"/>
    <w:autoRedefine/>
    <w:semiHidden/>
    <w:pPr>
      <w:spacing w:line="240" w:lineRule="auto"/>
      <w:ind w:leftChars="1600" w:left="3840" w:firstLineChars="0" w:firstLine="0"/>
      <w:jc w:val="left"/>
    </w:pPr>
    <w:rPr>
      <w:rFonts w:ascii="Times New Roman" w:eastAsia="新細明體"/>
      <w:snapToGrid/>
      <w:sz w:val="24"/>
      <w:szCs w:val="24"/>
    </w:rPr>
  </w:style>
  <w:style w:type="character" w:styleId="af0">
    <w:name w:val="FollowedHyperlink"/>
    <w:rPr>
      <w:color w:val="800080"/>
      <w:u w:val="single"/>
    </w:rPr>
  </w:style>
  <w:style w:type="paragraph" w:customStyle="1" w:styleId="10">
    <w:name w:val="表格內文1"/>
    <w:pPr>
      <w:spacing w:line="280" w:lineRule="exact"/>
    </w:pPr>
    <w:rPr>
      <w:rFonts w:eastAsia="標楷體"/>
      <w:sz w:val="24"/>
      <w:szCs w:val="24"/>
    </w:rPr>
  </w:style>
  <w:style w:type="paragraph" w:customStyle="1" w:styleId="af1">
    <w:name w:val="最後一段"/>
    <w:basedOn w:val="a"/>
    <w:pPr>
      <w:spacing w:line="480" w:lineRule="exact"/>
      <w:ind w:firstLineChars="0" w:firstLine="0"/>
    </w:pPr>
    <w:rPr>
      <w:rFonts w:ascii="Times New Roman"/>
    </w:rPr>
  </w:style>
  <w:style w:type="paragraph" w:customStyle="1" w:styleId="11">
    <w:name w:val="標題1."/>
    <w:basedOn w:val="a"/>
    <w:pPr>
      <w:spacing w:line="480" w:lineRule="exact"/>
      <w:ind w:leftChars="300" w:left="400" w:hangingChars="100" w:hanging="100"/>
    </w:pPr>
    <w:rPr>
      <w:rFonts w:ascii="Times New Roman"/>
    </w:rPr>
  </w:style>
  <w:style w:type="paragraph" w:styleId="23">
    <w:name w:val="Body Text Indent 2"/>
    <w:basedOn w:val="a"/>
    <w:pPr>
      <w:tabs>
        <w:tab w:val="decimal" w:leader="hyphen" w:pos="11439"/>
      </w:tabs>
      <w:ind w:left="567" w:firstLine="567"/>
      <w:outlineLvl w:val="2"/>
    </w:pPr>
    <w:rPr>
      <w:rFonts w:hAnsi="標楷體"/>
      <w:color w:val="FF0000"/>
    </w:rPr>
  </w:style>
  <w:style w:type="paragraph" w:customStyle="1" w:styleId="af2">
    <w:name w:val="標題(一)"/>
    <w:basedOn w:val="a"/>
    <w:pPr>
      <w:spacing w:line="480" w:lineRule="exact"/>
      <w:ind w:left="300" w:hangingChars="100" w:hanging="100"/>
    </w:pPr>
    <w:rPr>
      <w:rFonts w:ascii="Times New Roman"/>
    </w:rPr>
  </w:style>
  <w:style w:type="paragraph" w:styleId="af3">
    <w:name w:val="Plain Text"/>
    <w:basedOn w:val="a"/>
    <w:pPr>
      <w:spacing w:line="240" w:lineRule="auto"/>
      <w:ind w:leftChars="0" w:left="0" w:firstLineChars="0" w:firstLine="0"/>
      <w:jc w:val="left"/>
    </w:pPr>
    <w:rPr>
      <w:rFonts w:ascii="細明體" w:eastAsia="細明體" w:hAnsi="Courier New"/>
      <w:snapToGrid/>
      <w:sz w:val="24"/>
      <w:szCs w:val="24"/>
    </w:rPr>
  </w:style>
  <w:style w:type="paragraph" w:customStyle="1" w:styleId="af4">
    <w:name w:val="中標"/>
    <w:basedOn w:val="a"/>
    <w:pPr>
      <w:spacing w:line="360" w:lineRule="auto"/>
      <w:ind w:leftChars="0" w:left="0" w:firstLineChars="0" w:firstLine="0"/>
    </w:pPr>
    <w:rPr>
      <w:rFonts w:hint="eastAsia"/>
      <w:b/>
      <w:snapToGrid/>
      <w:sz w:val="36"/>
      <w:szCs w:val="24"/>
    </w:rPr>
  </w:style>
  <w:style w:type="paragraph" w:customStyle="1" w:styleId="af5">
    <w:name w:val="目錄二"/>
    <w:basedOn w:val="a"/>
    <w:pPr>
      <w:tabs>
        <w:tab w:val="decimal" w:leader="hyphen" w:pos="11439"/>
      </w:tabs>
      <w:spacing w:line="240" w:lineRule="auto"/>
      <w:ind w:leftChars="0" w:left="0" w:firstLineChars="0" w:firstLine="0"/>
      <w:outlineLvl w:val="2"/>
    </w:pPr>
    <w:rPr>
      <w:b/>
      <w:bCs/>
      <w:snapToGrid/>
      <w:szCs w:val="20"/>
    </w:rPr>
  </w:style>
  <w:style w:type="table" w:styleId="af6">
    <w:name w:val="Table Grid"/>
    <w:basedOn w:val="a1"/>
    <w:rsid w:val="00FD5E6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rsid w:val="00616A9C"/>
    <w:rPr>
      <w:rFonts w:ascii="標楷體" w:eastAsia="標楷體"/>
      <w:snapToGrid w:val="0"/>
      <w:kern w:val="2"/>
    </w:rPr>
  </w:style>
  <w:style w:type="paragraph" w:customStyle="1" w:styleId="af9">
    <w:name w:val="(一)(二)(三)"/>
    <w:basedOn w:val="a"/>
    <w:link w:val="12"/>
    <w:qFormat/>
    <w:rsid w:val="00C406ED"/>
    <w:pPr>
      <w:ind w:left="300" w:hangingChars="100" w:hanging="100"/>
    </w:pPr>
  </w:style>
  <w:style w:type="paragraph" w:styleId="Web">
    <w:name w:val="Normal (Web)"/>
    <w:basedOn w:val="a"/>
    <w:rsid w:val="0004060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header"/>
    <w:basedOn w:val="a"/>
    <w:rsid w:val="00A8475C"/>
    <w:pPr>
      <w:tabs>
        <w:tab w:val="center" w:pos="4153"/>
        <w:tab w:val="right" w:pos="8306"/>
      </w:tabs>
      <w:snapToGrid w:val="0"/>
    </w:pPr>
    <w:rPr>
      <w:sz w:val="20"/>
      <w:szCs w:val="20"/>
    </w:rPr>
  </w:style>
  <w:style w:type="paragraph" w:styleId="afb">
    <w:name w:val="footer"/>
    <w:basedOn w:val="a"/>
    <w:link w:val="afc"/>
    <w:uiPriority w:val="99"/>
    <w:rsid w:val="00A8475C"/>
    <w:pPr>
      <w:tabs>
        <w:tab w:val="center" w:pos="4153"/>
        <w:tab w:val="right" w:pos="8306"/>
      </w:tabs>
      <w:snapToGrid w:val="0"/>
    </w:pPr>
    <w:rPr>
      <w:sz w:val="20"/>
      <w:szCs w:val="20"/>
    </w:rPr>
  </w:style>
  <w:style w:type="character" w:styleId="afd">
    <w:name w:val="page number"/>
    <w:basedOn w:val="a0"/>
    <w:rsid w:val="00CA56B6"/>
  </w:style>
  <w:style w:type="paragraph" w:customStyle="1" w:styleId="13">
    <w:name w:val="樣式1"/>
    <w:basedOn w:val="a"/>
    <w:rsid w:val="003A7610"/>
    <w:pPr>
      <w:spacing w:line="240" w:lineRule="auto"/>
      <w:ind w:leftChars="0" w:left="0" w:firstLineChars="0" w:firstLine="0"/>
      <w:jc w:val="left"/>
    </w:pPr>
    <w:rPr>
      <w:rFonts w:ascii="新細明體" w:eastAsia="新細明體" w:hAnsi="新細明體"/>
      <w:snapToGrid/>
      <w:sz w:val="24"/>
      <w:szCs w:val="24"/>
    </w:rPr>
  </w:style>
  <w:style w:type="paragraph" w:styleId="afe">
    <w:name w:val="Balloon Text"/>
    <w:basedOn w:val="a"/>
    <w:semiHidden/>
    <w:rsid w:val="005E021D"/>
    <w:rPr>
      <w:rFonts w:ascii="Arial" w:eastAsia="新細明體" w:hAnsi="Arial"/>
      <w:sz w:val="18"/>
      <w:szCs w:val="18"/>
    </w:rPr>
  </w:style>
  <w:style w:type="character" w:customStyle="1" w:styleId="21">
    <w:name w:val="(一)下內文縮2 字元"/>
    <w:link w:val="2"/>
    <w:rsid w:val="004A1E63"/>
    <w:rPr>
      <w:rFonts w:ascii="標楷體" w:eastAsia="標楷體"/>
      <w:snapToGrid w:val="0"/>
      <w:kern w:val="2"/>
      <w:sz w:val="28"/>
      <w:szCs w:val="28"/>
      <w:lang w:val="en-US" w:eastAsia="zh-TW" w:bidi="ar-SA"/>
    </w:rPr>
  </w:style>
  <w:style w:type="character" w:customStyle="1" w:styleId="a6">
    <w:name w:val="(一)下內文 字元"/>
    <w:link w:val="a5"/>
    <w:rsid w:val="001270BA"/>
    <w:rPr>
      <w:rFonts w:ascii="標楷體" w:eastAsia="標楷體"/>
      <w:snapToGrid w:val="0"/>
      <w:kern w:val="2"/>
      <w:sz w:val="28"/>
      <w:szCs w:val="28"/>
      <w:lang w:val="en-US" w:eastAsia="zh-TW" w:bidi="ar-SA"/>
    </w:rPr>
  </w:style>
  <w:style w:type="character" w:customStyle="1" w:styleId="145">
    <w:name w:val="第一層(14號字) 字元"/>
    <w:link w:val="144"/>
    <w:rsid w:val="00241702"/>
    <w:rPr>
      <w:rFonts w:ascii="標楷體" w:eastAsia="標楷體"/>
      <w:b/>
      <w:snapToGrid w:val="0"/>
      <w:kern w:val="2"/>
      <w:sz w:val="28"/>
      <w:lang w:val="en-US" w:eastAsia="zh-TW" w:bidi="ar-SA"/>
    </w:rPr>
  </w:style>
  <w:style w:type="character" w:customStyle="1" w:styleId="1230">
    <w:name w:val="1.2.3. 字元"/>
    <w:basedOn w:val="a6"/>
    <w:link w:val="123"/>
    <w:rsid w:val="00241702"/>
    <w:rPr>
      <w:rFonts w:ascii="標楷體" w:eastAsia="標楷體"/>
      <w:snapToGrid w:val="0"/>
      <w:kern w:val="2"/>
      <w:sz w:val="28"/>
      <w:szCs w:val="28"/>
      <w:lang w:val="en-US" w:eastAsia="zh-TW" w:bidi="ar-SA"/>
    </w:rPr>
  </w:style>
  <w:style w:type="character" w:customStyle="1" w:styleId="140">
    <w:name w:val="第二層(14號字) 字元"/>
    <w:link w:val="14"/>
    <w:rsid w:val="001A59BD"/>
    <w:rPr>
      <w:rFonts w:ascii="標楷體" w:eastAsia="標楷體"/>
      <w:b/>
      <w:snapToGrid w:val="0"/>
      <w:kern w:val="2"/>
      <w:sz w:val="28"/>
      <w:lang w:val="en-US" w:eastAsia="zh-TW" w:bidi="ar-SA"/>
    </w:rPr>
  </w:style>
  <w:style w:type="character" w:customStyle="1" w:styleId="12">
    <w:name w:val="(一)(二)(三) 字元1"/>
    <w:link w:val="af9"/>
    <w:rsid w:val="001A59BD"/>
    <w:rPr>
      <w:rFonts w:ascii="標楷體" w:eastAsia="標楷體"/>
      <w:snapToGrid w:val="0"/>
      <w:kern w:val="2"/>
      <w:sz w:val="28"/>
      <w:szCs w:val="28"/>
      <w:lang w:val="en-US" w:eastAsia="zh-TW" w:bidi="ar-SA"/>
    </w:rPr>
  </w:style>
  <w:style w:type="character" w:customStyle="1" w:styleId="1232">
    <w:name w:val="(1)(2)(3) 字元"/>
    <w:link w:val="1231"/>
    <w:locked/>
    <w:rsid w:val="00616A9C"/>
    <w:rPr>
      <w:rFonts w:ascii="標楷體" w:eastAsia="標楷體"/>
      <w:snapToGrid w:val="0"/>
      <w:kern w:val="2"/>
      <w:sz w:val="28"/>
      <w:szCs w:val="28"/>
    </w:rPr>
  </w:style>
  <w:style w:type="character" w:customStyle="1" w:styleId="143">
    <w:name w:val="表格內文(14行高) 字元"/>
    <w:link w:val="142"/>
    <w:rsid w:val="008442D6"/>
    <w:rPr>
      <w:rFonts w:ascii="標楷體" w:eastAsia="標楷體"/>
      <w:snapToGrid w:val="0"/>
      <w:kern w:val="2"/>
      <w:sz w:val="24"/>
      <w:szCs w:val="28"/>
      <w:lang w:val="en-US" w:eastAsia="zh-TW" w:bidi="ar-SA"/>
    </w:rPr>
  </w:style>
  <w:style w:type="paragraph" w:styleId="aff">
    <w:name w:val="Normal Indent"/>
    <w:basedOn w:val="a"/>
    <w:rsid w:val="00845A3C"/>
    <w:pPr>
      <w:ind w:left="480"/>
    </w:pPr>
  </w:style>
  <w:style w:type="character" w:customStyle="1" w:styleId="200">
    <w:name w:val="表格內文(20行高) 字元"/>
    <w:basedOn w:val="143"/>
    <w:link w:val="20"/>
    <w:rsid w:val="007434ED"/>
    <w:rPr>
      <w:rFonts w:ascii="標楷體" w:eastAsia="標楷體"/>
      <w:snapToGrid w:val="0"/>
      <w:kern w:val="2"/>
      <w:sz w:val="24"/>
      <w:szCs w:val="28"/>
      <w:lang w:val="en-US" w:eastAsia="zh-TW" w:bidi="ar-SA"/>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7"/>
    <w:rsid w:val="00366556"/>
    <w:pPr>
      <w:snapToGrid w:val="0"/>
      <w:jc w:val="left"/>
    </w:pPr>
    <w:rPr>
      <w:sz w:val="20"/>
      <w:szCs w:val="20"/>
    </w:rPr>
  </w:style>
  <w:style w:type="character" w:styleId="aff0">
    <w:name w:val="footnote reference"/>
    <w:aliases w:val="FR,Ref,de nota al pie,註腳內容,Error-Fußnotenzeichen5,Error-Fußnotenzeichen6,Error-Fußnotenzeichen3,Error-Fusnotßnotenzeichen5,Error-Fußnotenzeic"/>
    <w:qFormat/>
    <w:rsid w:val="00366556"/>
    <w:rPr>
      <w:vertAlign w:val="superscript"/>
    </w:rPr>
  </w:style>
  <w:style w:type="paragraph" w:customStyle="1" w:styleId="24">
    <w:name w:val=" 字元 字元2 字元 字元 字元"/>
    <w:basedOn w:val="a"/>
    <w:semiHidden/>
    <w:rsid w:val="00080B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080B22"/>
    <w:rPr>
      <w:rFonts w:ascii="標楷體" w:eastAsia="標楷體"/>
      <w:b/>
      <w:snapToGrid w:val="0"/>
      <w:kern w:val="2"/>
      <w:sz w:val="28"/>
      <w:szCs w:val="28"/>
      <w:lang w:val="en-US" w:eastAsia="zh-TW" w:bidi="ar-SA"/>
    </w:rPr>
  </w:style>
  <w:style w:type="character" w:customStyle="1" w:styleId="ab">
    <w:name w:val="姓名及分機 字元"/>
    <w:link w:val="aa"/>
    <w:rsid w:val="00080B22"/>
    <w:rPr>
      <w:rFonts w:ascii="標楷體" w:eastAsia="標楷體"/>
      <w:snapToGrid w:val="0"/>
      <w:kern w:val="2"/>
      <w:sz w:val="24"/>
      <w:szCs w:val="28"/>
    </w:rPr>
  </w:style>
  <w:style w:type="character" w:customStyle="1" w:styleId="210">
    <w:name w:val="(一)下內文縮2 字元1"/>
    <w:rsid w:val="008D64C2"/>
    <w:rPr>
      <w:rFonts w:ascii="標楷體" w:eastAsia="標楷體"/>
      <w:snapToGrid w:val="0"/>
      <w:kern w:val="2"/>
      <w:sz w:val="28"/>
      <w:szCs w:val="28"/>
    </w:rPr>
  </w:style>
  <w:style w:type="character" w:customStyle="1" w:styleId="25">
    <w:name w:val="(一)(二)(三) 字元2"/>
    <w:rsid w:val="00CF332E"/>
    <w:rPr>
      <w:rFonts w:ascii="標楷體" w:eastAsia="標楷體"/>
      <w:snapToGrid w:val="0"/>
      <w:kern w:val="2"/>
      <w:sz w:val="28"/>
      <w:szCs w:val="28"/>
    </w:rPr>
  </w:style>
  <w:style w:type="character" w:customStyle="1" w:styleId="afc">
    <w:name w:val="頁尾 字元"/>
    <w:link w:val="afb"/>
    <w:uiPriority w:val="99"/>
    <w:rsid w:val="009F5197"/>
    <w:rPr>
      <w:rFonts w:ascii="標楷體" w:eastAsia="標楷體"/>
      <w:snapToGrid w:val="0"/>
      <w:kern w:val="2"/>
    </w:rPr>
  </w:style>
  <w:style w:type="character" w:customStyle="1" w:styleId="ad">
    <w:name w:val="前言(一)(二)(三) 字元"/>
    <w:link w:val="ac"/>
    <w:rsid w:val="00257987"/>
    <w:rPr>
      <w:rFonts w:ascii="標楷體" w:eastAsia="標楷體"/>
      <w:snapToGrid w:val="0"/>
      <w:kern w:val="2"/>
      <w:sz w:val="28"/>
      <w:szCs w:val="28"/>
    </w:rPr>
  </w:style>
  <w:style w:type="paragraph" w:customStyle="1" w:styleId="aff1">
    <w:name w:val="政院質詢項目(函)"/>
    <w:basedOn w:val="a"/>
    <w:next w:val="a"/>
    <w:rsid w:val="00E24CE7"/>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2">
    <w:name w:val="Body Text"/>
    <w:basedOn w:val="a"/>
    <w:link w:val="aff3"/>
    <w:rsid w:val="00A327E1"/>
    <w:pPr>
      <w:spacing w:after="120"/>
    </w:pPr>
  </w:style>
  <w:style w:type="character" w:customStyle="1" w:styleId="aff3">
    <w:name w:val="本文 字元"/>
    <w:link w:val="aff2"/>
    <w:rsid w:val="00A327E1"/>
    <w:rPr>
      <w:rFonts w:ascii="標楷體" w:eastAsia="標楷體"/>
      <w:snapToGrid w:val="0"/>
      <w:kern w:val="2"/>
      <w:sz w:val="28"/>
      <w:szCs w:val="28"/>
    </w:rPr>
  </w:style>
  <w:style w:type="paragraph" w:styleId="aff4">
    <w:name w:val="Date"/>
    <w:basedOn w:val="a"/>
    <w:next w:val="a"/>
    <w:link w:val="aff5"/>
    <w:rsid w:val="00A327E1"/>
    <w:pPr>
      <w:spacing w:line="240" w:lineRule="auto"/>
      <w:ind w:leftChars="0" w:left="0" w:firstLineChars="0" w:firstLine="0"/>
      <w:jc w:val="right"/>
    </w:pPr>
    <w:rPr>
      <w:rFonts w:ascii="Times New Roman"/>
      <w:b/>
      <w:bCs/>
      <w:snapToGrid/>
      <w:sz w:val="36"/>
      <w:szCs w:val="24"/>
    </w:rPr>
  </w:style>
  <w:style w:type="character" w:customStyle="1" w:styleId="aff5">
    <w:name w:val="日期 字元"/>
    <w:link w:val="aff4"/>
    <w:rsid w:val="00A327E1"/>
    <w:rPr>
      <w:rFonts w:eastAsia="標楷體"/>
      <w:b/>
      <w:bCs/>
      <w:kern w:val="2"/>
      <w:sz w:val="3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817846">
      <w:bodyDiv w:val="1"/>
      <w:marLeft w:val="0"/>
      <w:marRight w:val="0"/>
      <w:marTop w:val="0"/>
      <w:marBottom w:val="0"/>
      <w:divBdr>
        <w:top w:val="none" w:sz="0" w:space="0" w:color="auto"/>
        <w:left w:val="none" w:sz="0" w:space="0" w:color="auto"/>
        <w:bottom w:val="none" w:sz="0" w:space="0" w:color="auto"/>
        <w:right w:val="none" w:sz="0" w:space="0" w:color="auto"/>
      </w:divBdr>
    </w:div>
    <w:div w:id="834683034">
      <w:bodyDiv w:val="1"/>
      <w:marLeft w:val="0"/>
      <w:marRight w:val="0"/>
      <w:marTop w:val="0"/>
      <w:marBottom w:val="0"/>
      <w:divBdr>
        <w:top w:val="none" w:sz="0" w:space="0" w:color="auto"/>
        <w:left w:val="none" w:sz="0" w:space="0" w:color="auto"/>
        <w:bottom w:val="none" w:sz="0" w:space="0" w:color="auto"/>
        <w:right w:val="none" w:sz="0" w:space="0" w:color="auto"/>
      </w:divBdr>
    </w:div>
    <w:div w:id="1130321167">
      <w:bodyDiv w:val="1"/>
      <w:marLeft w:val="0"/>
      <w:marRight w:val="0"/>
      <w:marTop w:val="0"/>
      <w:marBottom w:val="0"/>
      <w:divBdr>
        <w:top w:val="none" w:sz="0" w:space="0" w:color="auto"/>
        <w:left w:val="none" w:sz="0" w:space="0" w:color="auto"/>
        <w:bottom w:val="none" w:sz="0" w:space="0" w:color="auto"/>
        <w:right w:val="none" w:sz="0" w:space="0" w:color="auto"/>
      </w:divBdr>
    </w:div>
    <w:div w:id="1144925794">
      <w:bodyDiv w:val="1"/>
      <w:marLeft w:val="0"/>
      <w:marRight w:val="0"/>
      <w:marTop w:val="0"/>
      <w:marBottom w:val="0"/>
      <w:divBdr>
        <w:top w:val="none" w:sz="0" w:space="0" w:color="auto"/>
        <w:left w:val="none" w:sz="0" w:space="0" w:color="auto"/>
        <w:bottom w:val="none" w:sz="0" w:space="0" w:color="auto"/>
        <w:right w:val="none" w:sz="0" w:space="0" w:color="auto"/>
      </w:divBdr>
      <w:divsChild>
        <w:div w:id="405346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3242317">
      <w:bodyDiv w:val="1"/>
      <w:marLeft w:val="0"/>
      <w:marRight w:val="0"/>
      <w:marTop w:val="0"/>
      <w:marBottom w:val="0"/>
      <w:divBdr>
        <w:top w:val="none" w:sz="0" w:space="0" w:color="auto"/>
        <w:left w:val="none" w:sz="0" w:space="0" w:color="auto"/>
        <w:bottom w:val="none" w:sz="0" w:space="0" w:color="auto"/>
        <w:right w:val="none" w:sz="0" w:space="0" w:color="auto"/>
      </w:divBdr>
    </w:div>
    <w:div w:id="1458841253">
      <w:bodyDiv w:val="1"/>
      <w:marLeft w:val="0"/>
      <w:marRight w:val="0"/>
      <w:marTop w:val="0"/>
      <w:marBottom w:val="0"/>
      <w:divBdr>
        <w:top w:val="none" w:sz="0" w:space="0" w:color="auto"/>
        <w:left w:val="none" w:sz="0" w:space="0" w:color="auto"/>
        <w:bottom w:val="none" w:sz="0" w:space="0" w:color="auto"/>
        <w:right w:val="none" w:sz="0" w:space="0" w:color="auto"/>
      </w:divBdr>
    </w:div>
    <w:div w:id="1462915212">
      <w:bodyDiv w:val="1"/>
      <w:marLeft w:val="0"/>
      <w:marRight w:val="0"/>
      <w:marTop w:val="0"/>
      <w:marBottom w:val="0"/>
      <w:divBdr>
        <w:top w:val="none" w:sz="0" w:space="0" w:color="auto"/>
        <w:left w:val="none" w:sz="0" w:space="0" w:color="auto"/>
        <w:bottom w:val="none" w:sz="0" w:space="0" w:color="auto"/>
        <w:right w:val="none" w:sz="0" w:space="0" w:color="auto"/>
      </w:divBdr>
    </w:div>
    <w:div w:id="1881169093">
      <w:bodyDiv w:val="1"/>
      <w:marLeft w:val="0"/>
      <w:marRight w:val="0"/>
      <w:marTop w:val="0"/>
      <w:marBottom w:val="0"/>
      <w:divBdr>
        <w:top w:val="none" w:sz="0" w:space="0" w:color="auto"/>
        <w:left w:val="none" w:sz="0" w:space="0" w:color="auto"/>
        <w:bottom w:val="none" w:sz="0" w:space="0" w:color="auto"/>
        <w:right w:val="none" w:sz="0" w:space="0" w:color="auto"/>
      </w:divBdr>
    </w:div>
    <w:div w:id="211867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F64495-9471-4718-9748-9F7CE3648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703</Words>
  <Characters>4013</Characters>
  <Application>Microsoft Office Word</Application>
  <DocSecurity>0</DocSecurity>
  <Lines>33</Lines>
  <Paragraphs>9</Paragraphs>
  <ScaleCrop>false</ScaleCrop>
  <Company/>
  <LinksUpToDate>false</LinksUpToDate>
  <CharactersWithSpaces>4707</CharactersWithSpaces>
  <SharedDoc>false</SharedDoc>
  <HLinks>
    <vt:vector size="18" baseType="variant">
      <vt:variant>
        <vt:i4>1638457</vt:i4>
      </vt:variant>
      <vt:variant>
        <vt:i4>14</vt:i4>
      </vt:variant>
      <vt:variant>
        <vt:i4>0</vt:i4>
      </vt:variant>
      <vt:variant>
        <vt:i4>5</vt:i4>
      </vt:variant>
      <vt:variant>
        <vt:lpwstr/>
      </vt:variant>
      <vt:variant>
        <vt:lpwstr>_Toc96008981</vt:lpwstr>
      </vt:variant>
      <vt:variant>
        <vt:i4>1572921</vt:i4>
      </vt:variant>
      <vt:variant>
        <vt:i4>8</vt:i4>
      </vt:variant>
      <vt:variant>
        <vt:i4>0</vt:i4>
      </vt:variant>
      <vt:variant>
        <vt:i4>5</vt:i4>
      </vt:variant>
      <vt:variant>
        <vt:lpwstr/>
      </vt:variant>
      <vt:variant>
        <vt:lpwstr>_Toc96008980</vt:lpwstr>
      </vt:variant>
      <vt:variant>
        <vt:i4>1114166</vt:i4>
      </vt:variant>
      <vt:variant>
        <vt:i4>2</vt:i4>
      </vt:variant>
      <vt:variant>
        <vt:i4>0</vt:i4>
      </vt:variant>
      <vt:variant>
        <vt:i4>5</vt:i4>
      </vt:variant>
      <vt:variant>
        <vt:lpwstr/>
      </vt:variant>
      <vt:variant>
        <vt:lpwstr>_Toc96008979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花蓮港務局94年度營業預算評估報告</dc:title>
  <dc:subject/>
  <dc:creator>User</dc:creator>
  <cp:keywords/>
  <cp:lastModifiedBy>hp400g3</cp:lastModifiedBy>
  <cp:revision>2</cp:revision>
  <cp:lastPrinted>2020-11-09T02:17:00Z</cp:lastPrinted>
  <dcterms:created xsi:type="dcterms:W3CDTF">2022-03-04T02:36:00Z</dcterms:created>
  <dcterms:modified xsi:type="dcterms:W3CDTF">2022-03-04T02:36:00Z</dcterms:modified>
</cp:coreProperties>
</file>