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E92085" w14:textId="079D8E28" w:rsidR="00466D64" w:rsidRPr="00466D64" w:rsidRDefault="00466D64" w:rsidP="00F05427">
      <w:pPr>
        <w:tabs>
          <w:tab w:val="left" w:pos="5103"/>
        </w:tabs>
        <w:autoSpaceDE w:val="0"/>
        <w:ind w:left="6"/>
        <w:jc w:val="both"/>
        <w:rPr>
          <w:rFonts w:ascii="標楷體" w:eastAsia="標楷體" w:hAnsi="標楷體"/>
          <w:b/>
          <w:spacing w:val="-20"/>
        </w:rPr>
      </w:pPr>
      <w:r w:rsidRPr="00F05427">
        <w:rPr>
          <w:rFonts w:ascii="標楷體" w:eastAsia="標楷體" w:hAnsi="標楷體" w:hint="eastAsia"/>
          <w:b/>
          <w:kern w:val="16"/>
        </w:rPr>
        <w:t>立法院第10屆第</w:t>
      </w:r>
      <w:r w:rsidR="00743FBA">
        <w:rPr>
          <w:rFonts w:ascii="標楷體" w:eastAsia="標楷體" w:hAnsi="標楷體"/>
          <w:b/>
          <w:kern w:val="16"/>
        </w:rPr>
        <w:t>5</w:t>
      </w:r>
      <w:r w:rsidRPr="00F05427">
        <w:rPr>
          <w:rFonts w:ascii="標楷體" w:eastAsia="標楷體" w:hAnsi="標楷體" w:hint="eastAsia"/>
          <w:b/>
          <w:kern w:val="16"/>
        </w:rPr>
        <w:t>會期財政委員會第</w:t>
      </w:r>
      <w:r w:rsidR="00743FBA">
        <w:rPr>
          <w:rFonts w:ascii="標楷體" w:eastAsia="標楷體" w:hAnsi="標楷體"/>
          <w:b/>
          <w:kern w:val="16"/>
        </w:rPr>
        <w:t>7</w:t>
      </w:r>
      <w:r w:rsidRPr="00F05427">
        <w:rPr>
          <w:rFonts w:ascii="標楷體" w:eastAsia="標楷體" w:hAnsi="標楷體" w:hint="eastAsia"/>
          <w:b/>
          <w:kern w:val="16"/>
        </w:rPr>
        <w:t>次全體委員會議議事錄</w:t>
      </w:r>
    </w:p>
    <w:p w14:paraId="79916EBF" w14:textId="3301B09C" w:rsidR="00466D64" w:rsidRDefault="00466D64" w:rsidP="00466D64">
      <w:pPr>
        <w:tabs>
          <w:tab w:val="left" w:pos="8931"/>
        </w:tabs>
        <w:ind w:left="1600" w:rightChars="-149" w:right="-477" w:hangingChars="500" w:hanging="1600"/>
        <w:rPr>
          <w:rFonts w:ascii="標楷體" w:eastAsia="標楷體" w:hAnsi="標楷體"/>
          <w:spacing w:val="-24"/>
        </w:rPr>
      </w:pPr>
      <w:bookmarkStart w:id="0" w:name="_Hlk88745422"/>
      <w:r w:rsidRPr="00466D64">
        <w:rPr>
          <w:rFonts w:ascii="標楷體" w:eastAsia="標楷體" w:hAnsi="標楷體" w:hint="eastAsia"/>
        </w:rPr>
        <w:t xml:space="preserve">時　　間　</w:t>
      </w:r>
      <w:r w:rsidRPr="00466D64">
        <w:rPr>
          <w:rFonts w:ascii="標楷體" w:eastAsia="標楷體" w:hAnsi="標楷體" w:hint="eastAsia"/>
          <w:spacing w:val="-24"/>
        </w:rPr>
        <w:t>中華民國</w:t>
      </w:r>
      <w:r w:rsidR="00743FBA" w:rsidRPr="00743FBA">
        <w:rPr>
          <w:rFonts w:ascii="標楷體" w:eastAsia="標楷體" w:hAnsi="標楷體" w:hint="eastAsia"/>
          <w:spacing w:val="-24"/>
        </w:rPr>
        <w:t>111年3月23日（星期三）9時</w:t>
      </w:r>
      <w:r w:rsidR="002A1436">
        <w:rPr>
          <w:rFonts w:ascii="標楷體" w:eastAsia="標楷體" w:hAnsi="標楷體" w:hint="eastAsia"/>
          <w:spacing w:val="-24"/>
        </w:rPr>
        <w:t>7</w:t>
      </w:r>
      <w:r w:rsidR="00743FBA" w:rsidRPr="00743FBA">
        <w:rPr>
          <w:rFonts w:ascii="標楷體" w:eastAsia="標楷體" w:hAnsi="標楷體" w:hint="eastAsia"/>
          <w:spacing w:val="-24"/>
        </w:rPr>
        <w:t>分至</w:t>
      </w:r>
      <w:r w:rsidR="0016790C">
        <w:rPr>
          <w:rFonts w:ascii="標楷體" w:eastAsia="標楷體" w:hAnsi="標楷體" w:hint="eastAsia"/>
          <w:spacing w:val="-24"/>
        </w:rPr>
        <w:t>1</w:t>
      </w:r>
      <w:r w:rsidR="0016790C">
        <w:rPr>
          <w:rFonts w:ascii="標楷體" w:eastAsia="標楷體" w:hAnsi="標楷體"/>
          <w:spacing w:val="-24"/>
        </w:rPr>
        <w:t>6</w:t>
      </w:r>
      <w:r w:rsidR="00743FBA" w:rsidRPr="00743FBA">
        <w:rPr>
          <w:rFonts w:ascii="標楷體" w:eastAsia="標楷體" w:hAnsi="標楷體" w:hint="eastAsia"/>
          <w:spacing w:val="-24"/>
        </w:rPr>
        <w:t>時</w:t>
      </w:r>
      <w:r w:rsidR="0016790C">
        <w:rPr>
          <w:rFonts w:ascii="標楷體" w:eastAsia="標楷體" w:hAnsi="標楷體"/>
          <w:spacing w:val="-24"/>
        </w:rPr>
        <w:t>49</w:t>
      </w:r>
      <w:r w:rsidR="00743FBA" w:rsidRPr="00743FBA">
        <w:rPr>
          <w:rFonts w:ascii="標楷體" w:eastAsia="標楷體" w:hAnsi="標楷體" w:hint="eastAsia"/>
          <w:spacing w:val="-24"/>
        </w:rPr>
        <w:t>分</w:t>
      </w:r>
    </w:p>
    <w:bookmarkEnd w:id="0"/>
    <w:p w14:paraId="2A9CD5F8" w14:textId="63865FBF" w:rsidR="00466D64" w:rsidRPr="00466D64" w:rsidRDefault="00466D64" w:rsidP="00466D64">
      <w:pPr>
        <w:ind w:left="1600" w:rightChars="-149" w:right="-477" w:hangingChars="500" w:hanging="1600"/>
        <w:rPr>
          <w:rFonts w:ascii="標楷體" w:eastAsia="標楷體" w:hAnsi="標楷體"/>
        </w:rPr>
      </w:pPr>
      <w:r w:rsidRPr="00466D64">
        <w:rPr>
          <w:rFonts w:ascii="標楷體" w:eastAsia="標楷體" w:hAnsi="標楷體" w:hint="eastAsia"/>
        </w:rPr>
        <w:t>地　　點　群賢樓9樓大禮堂</w:t>
      </w:r>
    </w:p>
    <w:p w14:paraId="493B5114" w14:textId="77777777" w:rsidR="00657ABD" w:rsidRDefault="00466D64" w:rsidP="006D6797">
      <w:pPr>
        <w:ind w:left="1600" w:rightChars="100" w:right="320" w:hangingChars="500" w:hanging="1600"/>
        <w:rPr>
          <w:rFonts w:ascii="標楷體" w:eastAsia="標楷體" w:hAnsi="標楷體"/>
        </w:rPr>
      </w:pPr>
      <w:r w:rsidRPr="00466D64">
        <w:rPr>
          <w:rFonts w:ascii="標楷體" w:eastAsia="標楷體" w:hAnsi="標楷體" w:hint="eastAsia"/>
        </w:rPr>
        <w:t xml:space="preserve">出席委員　</w:t>
      </w:r>
      <w:r w:rsidR="006D6797" w:rsidRPr="006D6797">
        <w:rPr>
          <w:rFonts w:ascii="標楷體" w:eastAsia="標楷體" w:hAnsi="標楷體" w:hint="eastAsia"/>
        </w:rPr>
        <w:t xml:space="preserve">林德福　</w:t>
      </w:r>
      <w:r w:rsidR="00657ABD" w:rsidRPr="006D6797">
        <w:rPr>
          <w:rFonts w:ascii="標楷體" w:eastAsia="標楷體" w:hAnsi="標楷體" w:hint="eastAsia"/>
        </w:rPr>
        <w:t xml:space="preserve">吳秉叡　</w:t>
      </w:r>
      <w:r w:rsidR="006D6797" w:rsidRPr="006D6797">
        <w:rPr>
          <w:rFonts w:ascii="標楷體" w:eastAsia="標楷體" w:hAnsi="標楷體" w:hint="eastAsia"/>
        </w:rPr>
        <w:t xml:space="preserve">賴士葆　沈發惠　</w:t>
      </w:r>
      <w:r w:rsidR="00657ABD" w:rsidRPr="006D6797">
        <w:rPr>
          <w:rFonts w:ascii="標楷體" w:eastAsia="標楷體" w:hAnsi="標楷體" w:hint="eastAsia"/>
        </w:rPr>
        <w:t xml:space="preserve">李貴敏　林楚茵　</w:t>
      </w:r>
    </w:p>
    <w:p w14:paraId="283586CC" w14:textId="1B0FE478" w:rsidR="006D6797" w:rsidRPr="006D6797" w:rsidRDefault="00657ABD" w:rsidP="006D6797">
      <w:pPr>
        <w:ind w:left="1600" w:rightChars="100" w:right="320" w:hangingChars="500" w:hanging="1600"/>
        <w:rPr>
          <w:rFonts w:ascii="標楷體" w:eastAsia="標楷體" w:hAnsi="標楷體"/>
        </w:rPr>
      </w:pPr>
      <w:r w:rsidRPr="006D6797">
        <w:rPr>
          <w:rFonts w:ascii="標楷體" w:eastAsia="標楷體" w:hAnsi="標楷體" w:hint="eastAsia"/>
        </w:rPr>
        <w:t xml:space="preserve">　　　　　</w:t>
      </w:r>
      <w:r w:rsidR="006D6797" w:rsidRPr="006D6797">
        <w:rPr>
          <w:rFonts w:ascii="標楷體" w:eastAsia="標楷體" w:hAnsi="標楷體" w:hint="eastAsia"/>
        </w:rPr>
        <w:t xml:space="preserve">郭國文　</w:t>
      </w:r>
      <w:r w:rsidRPr="006D6797">
        <w:rPr>
          <w:rFonts w:ascii="標楷體" w:eastAsia="標楷體" w:hAnsi="標楷體" w:hint="eastAsia"/>
        </w:rPr>
        <w:t xml:space="preserve">鍾佳濱　羅明才　張其祿　</w:t>
      </w:r>
      <w:r w:rsidR="00137A81" w:rsidRPr="006D6797">
        <w:rPr>
          <w:rFonts w:ascii="標楷體" w:eastAsia="標楷體" w:hAnsi="標楷體" w:hint="eastAsia"/>
        </w:rPr>
        <w:t>高嘉瑜　余　天</w:t>
      </w:r>
    </w:p>
    <w:p w14:paraId="28810EC9" w14:textId="267D143E" w:rsidR="006D6797" w:rsidRPr="006D6797" w:rsidRDefault="006D6797" w:rsidP="006D6797">
      <w:pPr>
        <w:ind w:left="1600" w:rightChars="100" w:right="320" w:hangingChars="500" w:hanging="1600"/>
        <w:rPr>
          <w:rFonts w:ascii="標楷體" w:eastAsia="標楷體" w:hAnsi="標楷體"/>
        </w:rPr>
      </w:pPr>
      <w:r w:rsidRPr="006D6797">
        <w:rPr>
          <w:rFonts w:ascii="標楷體" w:eastAsia="標楷體" w:hAnsi="標楷體" w:hint="eastAsia"/>
        </w:rPr>
        <w:t xml:space="preserve">　　　　　費鴻泰　</w:t>
      </w:r>
    </w:p>
    <w:p w14:paraId="0E666236" w14:textId="4A1E9ABD" w:rsidR="00466D64" w:rsidRPr="00466D64" w:rsidRDefault="00466D64" w:rsidP="00466D64">
      <w:pPr>
        <w:ind w:leftChars="500" w:left="1600"/>
        <w:rPr>
          <w:rFonts w:ascii="標楷體" w:eastAsia="標楷體" w:hAnsi="標楷體"/>
          <w:b/>
        </w:rPr>
      </w:pPr>
      <w:r w:rsidRPr="00466D64">
        <w:rPr>
          <w:rFonts w:ascii="標楷體" w:eastAsia="標楷體" w:hAnsi="標楷體" w:hint="eastAsia"/>
          <w:b/>
        </w:rPr>
        <w:t>委員出席1</w:t>
      </w:r>
      <w:r w:rsidR="00F05427">
        <w:rPr>
          <w:rFonts w:ascii="標楷體" w:eastAsia="標楷體" w:hAnsi="標楷體" w:hint="eastAsia"/>
          <w:b/>
        </w:rPr>
        <w:t>3</w:t>
      </w:r>
      <w:r w:rsidRPr="00466D64">
        <w:rPr>
          <w:rFonts w:ascii="標楷體" w:eastAsia="標楷體" w:hAnsi="標楷體" w:hint="eastAsia"/>
          <w:b/>
        </w:rPr>
        <w:t>人</w:t>
      </w:r>
    </w:p>
    <w:p w14:paraId="63326D84" w14:textId="77777777" w:rsidR="00657ABD" w:rsidRPr="00137A81" w:rsidRDefault="00466D64" w:rsidP="006D6797">
      <w:pPr>
        <w:autoSpaceDE w:val="0"/>
        <w:autoSpaceDN w:val="0"/>
        <w:ind w:left="1600" w:rightChars="100" w:right="320" w:hangingChars="500" w:hanging="1600"/>
        <w:rPr>
          <w:rFonts w:ascii="標楷體" w:eastAsia="標楷體" w:hAnsi="標楷體"/>
        </w:rPr>
      </w:pPr>
      <w:r w:rsidRPr="00137A81">
        <w:rPr>
          <w:rFonts w:ascii="標楷體" w:eastAsia="標楷體" w:hAnsi="標楷體" w:hint="eastAsia"/>
        </w:rPr>
        <w:t xml:space="preserve">列席委員　</w:t>
      </w:r>
      <w:r w:rsidR="00657ABD" w:rsidRPr="00137A81">
        <w:rPr>
          <w:rFonts w:ascii="標楷體" w:eastAsia="標楷體" w:hAnsi="標楷體" w:hint="eastAsia"/>
        </w:rPr>
        <w:t xml:space="preserve">陳椒華　</w:t>
      </w:r>
      <w:r w:rsidR="006D6797" w:rsidRPr="00137A81">
        <w:rPr>
          <w:rFonts w:ascii="標楷體" w:eastAsia="標楷體" w:hAnsi="標楷體" w:hint="eastAsia"/>
        </w:rPr>
        <w:t xml:space="preserve">曾銘宗　</w:t>
      </w:r>
      <w:r w:rsidR="00657ABD" w:rsidRPr="00137A81">
        <w:rPr>
          <w:rFonts w:ascii="標楷體" w:eastAsia="標楷體" w:hAnsi="標楷體" w:hint="eastAsia"/>
        </w:rPr>
        <w:t xml:space="preserve">葉毓蘭　洪孟楷　</w:t>
      </w:r>
      <w:r w:rsidR="006D6797" w:rsidRPr="00137A81">
        <w:rPr>
          <w:rFonts w:ascii="標楷體" w:eastAsia="標楷體" w:hAnsi="標楷體" w:hint="eastAsia"/>
        </w:rPr>
        <w:t xml:space="preserve">謝衣鳯　</w:t>
      </w:r>
      <w:r w:rsidR="00657ABD" w:rsidRPr="00137A81">
        <w:rPr>
          <w:rFonts w:ascii="標楷體" w:eastAsia="標楷體" w:hAnsi="標楷體" w:hint="eastAsia"/>
        </w:rPr>
        <w:t xml:space="preserve">楊瓊瓔　</w:t>
      </w:r>
    </w:p>
    <w:p w14:paraId="0FE591DA" w14:textId="2DD3B9A4" w:rsidR="00657ABD" w:rsidRPr="00137A81" w:rsidRDefault="00657ABD" w:rsidP="006D6797">
      <w:pPr>
        <w:autoSpaceDE w:val="0"/>
        <w:autoSpaceDN w:val="0"/>
        <w:ind w:left="1600" w:rightChars="100" w:right="320" w:hangingChars="500" w:hanging="1600"/>
        <w:rPr>
          <w:rFonts w:ascii="標楷體" w:eastAsia="標楷體" w:hAnsi="標楷體"/>
        </w:rPr>
      </w:pPr>
      <w:r w:rsidRPr="00137A81">
        <w:rPr>
          <w:rFonts w:ascii="標楷體" w:eastAsia="標楷體" w:hAnsi="標楷體" w:hint="eastAsia"/>
        </w:rPr>
        <w:t xml:space="preserve">　　　　　高虹安　莊競程　蔡易餘　廖婉汝　</w:t>
      </w:r>
      <w:r w:rsidR="00137A81" w:rsidRPr="00137A81">
        <w:rPr>
          <w:rFonts w:ascii="標楷體" w:eastAsia="標楷體" w:hAnsi="標楷體" w:hint="eastAsia"/>
        </w:rPr>
        <w:t xml:space="preserve">張育美　江永昌　</w:t>
      </w:r>
    </w:p>
    <w:p w14:paraId="16CB0E22" w14:textId="5D6D7A7F" w:rsidR="00137A81" w:rsidRPr="00137A81" w:rsidRDefault="00657ABD" w:rsidP="006D6797">
      <w:pPr>
        <w:autoSpaceDE w:val="0"/>
        <w:autoSpaceDN w:val="0"/>
        <w:ind w:left="1600" w:rightChars="100" w:right="320" w:hangingChars="500" w:hanging="1600"/>
        <w:rPr>
          <w:rFonts w:ascii="標楷體" w:eastAsia="標楷體" w:hAnsi="標楷體"/>
        </w:rPr>
      </w:pPr>
      <w:r w:rsidRPr="00137A81">
        <w:rPr>
          <w:rFonts w:ascii="標楷體" w:eastAsia="標楷體" w:hAnsi="標楷體" w:hint="eastAsia"/>
        </w:rPr>
        <w:t xml:space="preserve">　　　　　</w:t>
      </w:r>
      <w:r w:rsidR="00137A81" w:rsidRPr="00137A81">
        <w:rPr>
          <w:rFonts w:ascii="標楷體" w:eastAsia="標楷體" w:hAnsi="標楷體" w:hint="eastAsia"/>
        </w:rPr>
        <w:t xml:space="preserve">翁重鈞　陳亭妃　</w:t>
      </w:r>
      <w:r w:rsidR="001C5326">
        <w:rPr>
          <w:rFonts w:ascii="標楷體" w:eastAsia="標楷體" w:hAnsi="標楷體" w:hint="eastAsia"/>
        </w:rPr>
        <w:t>林淑芬</w:t>
      </w:r>
      <w:r w:rsidR="001C5326" w:rsidRPr="00137A81">
        <w:rPr>
          <w:rFonts w:ascii="標楷體" w:eastAsia="標楷體" w:hAnsi="標楷體" w:hint="eastAsia"/>
        </w:rPr>
        <w:t xml:space="preserve">　</w:t>
      </w:r>
      <w:r w:rsidR="001C5326">
        <w:rPr>
          <w:rFonts w:ascii="標楷體" w:eastAsia="標楷體" w:hAnsi="標楷體" w:hint="eastAsia"/>
        </w:rPr>
        <w:t>陳明文</w:t>
      </w:r>
      <w:r w:rsidR="001C5326" w:rsidRPr="00137A81">
        <w:rPr>
          <w:rFonts w:ascii="標楷體" w:eastAsia="標楷體" w:hAnsi="標楷體" w:hint="eastAsia"/>
        </w:rPr>
        <w:t xml:space="preserve">　</w:t>
      </w:r>
    </w:p>
    <w:p w14:paraId="0C3207BD" w14:textId="587C9ABB" w:rsidR="00466D64" w:rsidRPr="00137A81" w:rsidRDefault="00466D64" w:rsidP="00466D64">
      <w:pPr>
        <w:ind w:leftChars="500" w:left="1600"/>
        <w:rPr>
          <w:rFonts w:ascii="標楷體" w:eastAsia="標楷體" w:hAnsi="標楷體"/>
          <w:b/>
        </w:rPr>
      </w:pPr>
      <w:r w:rsidRPr="00137A81">
        <w:rPr>
          <w:rFonts w:ascii="標楷體" w:eastAsia="標楷體" w:hAnsi="標楷體" w:hint="eastAsia"/>
          <w:b/>
        </w:rPr>
        <w:t>委員列席</w:t>
      </w:r>
      <w:r w:rsidR="0058078A" w:rsidRPr="00BC5A94">
        <w:rPr>
          <w:rFonts w:ascii="標楷體" w:eastAsia="標楷體" w:hAnsi="標楷體" w:hint="eastAsia"/>
          <w:b/>
        </w:rPr>
        <w:t>1</w:t>
      </w:r>
      <w:r w:rsidR="001C5326" w:rsidRPr="00BC5A94">
        <w:rPr>
          <w:rFonts w:ascii="標楷體" w:eastAsia="標楷體" w:hAnsi="標楷體" w:hint="eastAsia"/>
          <w:b/>
        </w:rPr>
        <w:t>6</w:t>
      </w:r>
      <w:r w:rsidRPr="00BC5A94">
        <w:rPr>
          <w:rFonts w:ascii="標楷體" w:eastAsia="標楷體" w:hAnsi="標楷體" w:hint="eastAsia"/>
          <w:b/>
        </w:rPr>
        <w:t>人</w:t>
      </w:r>
    </w:p>
    <w:p w14:paraId="765F8418" w14:textId="50D47E3D" w:rsidR="00466D64" w:rsidRPr="00466D64" w:rsidRDefault="00466D64" w:rsidP="00466D64">
      <w:pPr>
        <w:tabs>
          <w:tab w:val="left" w:pos="9072"/>
        </w:tabs>
        <w:jc w:val="both"/>
        <w:rPr>
          <w:rFonts w:ascii="標楷體" w:eastAsia="標楷體" w:hAnsi="標楷體"/>
          <w:kern w:val="16"/>
        </w:rPr>
      </w:pPr>
      <w:r w:rsidRPr="00466D64">
        <w:rPr>
          <w:rFonts w:ascii="標楷體" w:eastAsia="標楷體" w:hAnsi="標楷體" w:hint="eastAsia"/>
          <w:kern w:val="16"/>
        </w:rPr>
        <w:t xml:space="preserve">列席官員　</w:t>
      </w:r>
      <w:r w:rsidR="004021F0" w:rsidRPr="00466D64">
        <w:rPr>
          <w:rFonts w:ascii="標楷體" w:eastAsia="標楷體" w:hAnsi="標楷體" w:hint="eastAsia"/>
          <w:spacing w:val="-24"/>
        </w:rPr>
        <w:t>11</w:t>
      </w:r>
      <w:r w:rsidR="006D6797">
        <w:rPr>
          <w:rFonts w:ascii="標楷體" w:eastAsia="標楷體" w:hAnsi="標楷體"/>
          <w:spacing w:val="-24"/>
        </w:rPr>
        <w:t>1</w:t>
      </w:r>
      <w:r w:rsidR="004021F0" w:rsidRPr="00466D64">
        <w:rPr>
          <w:rFonts w:ascii="標楷體" w:eastAsia="標楷體" w:hAnsi="標楷體" w:hint="eastAsia"/>
          <w:spacing w:val="-24"/>
        </w:rPr>
        <w:t>年</w:t>
      </w:r>
      <w:r w:rsidR="006D6797">
        <w:rPr>
          <w:rFonts w:ascii="標楷體" w:eastAsia="標楷體" w:hAnsi="標楷體"/>
          <w:spacing w:val="-24"/>
        </w:rPr>
        <w:t>3</w:t>
      </w:r>
      <w:r w:rsidR="004021F0" w:rsidRPr="00466D64">
        <w:rPr>
          <w:rFonts w:ascii="標楷體" w:eastAsia="標楷體" w:hAnsi="標楷體" w:hint="eastAsia"/>
          <w:spacing w:val="-24"/>
        </w:rPr>
        <w:t>月2</w:t>
      </w:r>
      <w:r w:rsidR="006D6797">
        <w:rPr>
          <w:rFonts w:ascii="標楷體" w:eastAsia="標楷體" w:hAnsi="標楷體"/>
          <w:spacing w:val="-24"/>
        </w:rPr>
        <w:t>3</w:t>
      </w:r>
      <w:r w:rsidR="004021F0" w:rsidRPr="00466D64">
        <w:rPr>
          <w:rFonts w:ascii="標楷體" w:eastAsia="標楷體" w:hAnsi="標楷體" w:hint="eastAsia"/>
          <w:spacing w:val="-24"/>
        </w:rPr>
        <w:t>日（星期</w:t>
      </w:r>
      <w:r w:rsidR="006D6797">
        <w:rPr>
          <w:rFonts w:ascii="標楷體" w:eastAsia="標楷體" w:hAnsi="標楷體" w:hint="eastAsia"/>
          <w:spacing w:val="-24"/>
        </w:rPr>
        <w:t>三</w:t>
      </w:r>
      <w:r w:rsidR="004021F0" w:rsidRPr="00466D64">
        <w:rPr>
          <w:rFonts w:ascii="標楷體" w:eastAsia="標楷體" w:hAnsi="標楷體"/>
          <w:spacing w:val="-24"/>
        </w:rPr>
        <w:t>）</w:t>
      </w:r>
      <w:r w:rsidR="00BA3F6A">
        <w:rPr>
          <w:rFonts w:ascii="標楷體" w:eastAsia="標楷體" w:hAnsi="標楷體" w:hint="eastAsia"/>
          <w:spacing w:val="-24"/>
        </w:rPr>
        <w:t>上午</w:t>
      </w:r>
    </w:p>
    <w:p w14:paraId="77183166" w14:textId="5D8CA8D0" w:rsidR="00086566" w:rsidRDefault="006D6797"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sidRPr="006D6797">
        <w:rPr>
          <w:rFonts w:ascii="標楷體" w:eastAsia="標楷體" w:hAnsi="標楷體" w:hint="eastAsia"/>
          <w:b/>
          <w:color w:val="000000"/>
          <w:kern w:val="16"/>
        </w:rPr>
        <w:t>財政部</w:t>
      </w:r>
      <w:r w:rsidR="00086566" w:rsidRPr="00C13ACF">
        <w:rPr>
          <w:rFonts w:ascii="標楷體" w:eastAsia="標楷體" w:hAnsi="標楷體" w:hint="eastAsia"/>
          <w:b/>
          <w:kern w:val="16"/>
        </w:rPr>
        <w:t xml:space="preserve">　　　　　　　　　　　</w:t>
      </w:r>
      <w:r w:rsidRPr="00086566">
        <w:rPr>
          <w:rFonts w:ascii="標楷體" w:eastAsia="標楷體" w:hAnsi="標楷體" w:hint="eastAsia"/>
          <w:bCs/>
          <w:color w:val="000000"/>
          <w:kern w:val="16"/>
        </w:rPr>
        <w:t>部長</w:t>
      </w:r>
      <w:r w:rsidR="00086566">
        <w:rPr>
          <w:rFonts w:ascii="標楷體" w:eastAsia="標楷體" w:hAnsi="標楷體" w:hint="eastAsia"/>
          <w:bCs/>
          <w:color w:val="000000"/>
          <w:kern w:val="16"/>
        </w:rPr>
        <w:t xml:space="preserve">　　　</w:t>
      </w:r>
      <w:r w:rsidR="00BA3F6A">
        <w:rPr>
          <w:rFonts w:ascii="標楷體" w:eastAsia="標楷體" w:hAnsi="標楷體" w:hint="eastAsia"/>
          <w:bCs/>
          <w:color w:val="000000"/>
          <w:kern w:val="16"/>
        </w:rPr>
        <w:t xml:space="preserve">　</w:t>
      </w:r>
      <w:r w:rsidRPr="00086566">
        <w:rPr>
          <w:rFonts w:ascii="標楷體" w:eastAsia="標楷體" w:hAnsi="標楷體" w:hint="eastAsia"/>
          <w:bCs/>
          <w:color w:val="000000"/>
          <w:kern w:val="16"/>
        </w:rPr>
        <w:t>蘇建榮</w:t>
      </w:r>
    </w:p>
    <w:p w14:paraId="1ED09073" w14:textId="5BDC9B5D" w:rsidR="006D6797"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Pr>
          <w:rFonts w:ascii="標楷體" w:eastAsia="標楷體" w:hAnsi="標楷體" w:hint="eastAsia"/>
          <w:b/>
          <w:color w:val="000000"/>
          <w:kern w:val="16"/>
        </w:rPr>
        <w:t xml:space="preserve">　</w:t>
      </w:r>
      <w:r w:rsidR="006D6797" w:rsidRPr="00086566">
        <w:rPr>
          <w:rFonts w:ascii="標楷體" w:eastAsia="標楷體" w:hAnsi="標楷體" w:hint="eastAsia"/>
          <w:bCs/>
          <w:color w:val="000000"/>
          <w:kern w:val="16"/>
        </w:rPr>
        <w:t>推動促參司</w:t>
      </w:r>
      <w:r w:rsidRPr="00C13ACF">
        <w:rPr>
          <w:rFonts w:ascii="標楷體" w:eastAsia="標楷體" w:hAnsi="標楷體" w:hint="eastAsia"/>
          <w:b/>
          <w:kern w:val="16"/>
        </w:rPr>
        <w:t xml:space="preserve">　　　　　　　　</w:t>
      </w:r>
      <w:r w:rsidR="006D6797" w:rsidRPr="00086566">
        <w:rPr>
          <w:rFonts w:ascii="標楷體" w:eastAsia="標楷體" w:hAnsi="標楷體" w:hint="eastAsia"/>
          <w:bCs/>
          <w:color w:val="000000"/>
          <w:kern w:val="16"/>
        </w:rPr>
        <w:t>司長</w:t>
      </w:r>
      <w:r>
        <w:rPr>
          <w:rFonts w:ascii="標楷體" w:eastAsia="標楷體" w:hAnsi="標楷體" w:hint="eastAsia"/>
          <w:bCs/>
          <w:color w:val="000000"/>
          <w:kern w:val="16"/>
        </w:rPr>
        <w:t xml:space="preserve">　　</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李建賢</w:t>
      </w:r>
    </w:p>
    <w:p w14:paraId="39412750" w14:textId="4CE86E15" w:rsidR="00C66236" w:rsidRPr="00C66236" w:rsidRDefault="00C66236" w:rsidP="006D6797">
      <w:pPr>
        <w:tabs>
          <w:tab w:val="left" w:pos="8789"/>
          <w:tab w:val="left" w:pos="9072"/>
          <w:tab w:val="left" w:pos="9214"/>
        </w:tabs>
        <w:kinsoku/>
        <w:rPr>
          <w:rFonts w:ascii="標楷體" w:eastAsia="標楷體" w:hAnsi="標楷體"/>
          <w:color w:val="000000"/>
          <w:kern w:val="16"/>
        </w:rPr>
      </w:pPr>
      <w:r w:rsidRPr="00C66236">
        <w:rPr>
          <w:rFonts w:ascii="標楷體" w:eastAsia="標楷體" w:hAnsi="標楷體" w:hint="eastAsia"/>
          <w:color w:val="000000"/>
          <w:kern w:val="16"/>
        </w:rPr>
        <w:t xml:space="preserve">　　　　　　法制處　　　　　　　　　　</w:t>
      </w:r>
      <w:r>
        <w:rPr>
          <w:rFonts w:ascii="標楷體" w:eastAsia="標楷體" w:hAnsi="標楷體" w:hint="eastAsia"/>
          <w:color w:val="000000"/>
          <w:kern w:val="16"/>
        </w:rPr>
        <w:t>處長　　　　翁培祐</w:t>
      </w:r>
    </w:p>
    <w:p w14:paraId="67353A46" w14:textId="4F19AA08" w:rsidR="006D6797"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Pr>
          <w:rFonts w:ascii="標楷體" w:eastAsia="標楷體" w:hAnsi="標楷體" w:hint="eastAsia"/>
          <w:b/>
          <w:color w:val="000000"/>
          <w:kern w:val="16"/>
        </w:rPr>
        <w:t xml:space="preserve">　</w:t>
      </w:r>
      <w:r w:rsidR="006D6797" w:rsidRPr="00086566">
        <w:rPr>
          <w:rFonts w:ascii="標楷體" w:eastAsia="標楷體" w:hAnsi="標楷體" w:hint="eastAsia"/>
          <w:bCs/>
          <w:color w:val="000000"/>
          <w:kern w:val="16"/>
        </w:rPr>
        <w:t>國庫署</w:t>
      </w:r>
      <w:r w:rsidRPr="00C13ACF">
        <w:rPr>
          <w:rFonts w:ascii="標楷體" w:eastAsia="標楷體" w:hAnsi="標楷體" w:hint="eastAsia"/>
          <w:b/>
          <w:kern w:val="16"/>
        </w:rPr>
        <w:t xml:space="preserve">　　　　　　　　　　</w:t>
      </w:r>
      <w:r w:rsidR="006D6797" w:rsidRPr="00086566">
        <w:rPr>
          <w:rFonts w:ascii="標楷體" w:eastAsia="標楷體" w:hAnsi="標楷體" w:hint="eastAsia"/>
          <w:bCs/>
          <w:color w:val="000000"/>
          <w:kern w:val="16"/>
        </w:rPr>
        <w:t>署長</w:t>
      </w:r>
      <w:r w:rsidR="00C36B2A">
        <w:rPr>
          <w:rFonts w:ascii="標楷體" w:eastAsia="標楷體" w:hAnsi="標楷體" w:hint="eastAsia"/>
          <w:bCs/>
          <w:color w:val="000000"/>
          <w:kern w:val="16"/>
        </w:rPr>
        <w:t xml:space="preserve">　　　</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蕭家旗</w:t>
      </w:r>
    </w:p>
    <w:p w14:paraId="689C5615" w14:textId="53DDB976" w:rsidR="006D6797"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Pr>
          <w:rFonts w:ascii="標楷體" w:eastAsia="標楷體" w:hAnsi="標楷體" w:hint="eastAsia"/>
          <w:b/>
          <w:color w:val="000000"/>
          <w:kern w:val="16"/>
        </w:rPr>
        <w:t xml:space="preserve">　</w:t>
      </w:r>
      <w:r w:rsidR="006D6797" w:rsidRPr="00086566">
        <w:rPr>
          <w:rFonts w:ascii="標楷體" w:eastAsia="標楷體" w:hAnsi="標楷體" w:hint="eastAsia"/>
          <w:bCs/>
          <w:color w:val="000000"/>
          <w:kern w:val="16"/>
        </w:rPr>
        <w:t>賦稅署</w:t>
      </w:r>
      <w:r w:rsidRPr="00C13ACF">
        <w:rPr>
          <w:rFonts w:ascii="標楷體" w:eastAsia="標楷體" w:hAnsi="標楷體" w:hint="eastAsia"/>
          <w:b/>
          <w:kern w:val="16"/>
        </w:rPr>
        <w:t xml:space="preserve">　　　　　　　　　　</w:t>
      </w:r>
      <w:r w:rsidR="006D6797" w:rsidRPr="00086566">
        <w:rPr>
          <w:rFonts w:ascii="標楷體" w:eastAsia="標楷體" w:hAnsi="標楷體" w:hint="eastAsia"/>
          <w:bCs/>
          <w:color w:val="000000"/>
          <w:kern w:val="16"/>
        </w:rPr>
        <w:t>署長</w:t>
      </w:r>
      <w:r w:rsidR="00C36B2A">
        <w:rPr>
          <w:rFonts w:ascii="標楷體" w:eastAsia="標楷體" w:hAnsi="標楷體" w:hint="eastAsia"/>
          <w:bCs/>
          <w:color w:val="000000"/>
          <w:kern w:val="16"/>
        </w:rPr>
        <w:t xml:space="preserve">　　　</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許慈美</w:t>
      </w:r>
    </w:p>
    <w:p w14:paraId="082BBECC" w14:textId="5FD3C2D5" w:rsidR="006D6797"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Pr>
          <w:rFonts w:ascii="標楷體" w:eastAsia="標楷體" w:hAnsi="標楷體" w:hint="eastAsia"/>
          <w:b/>
          <w:color w:val="000000"/>
          <w:kern w:val="16"/>
        </w:rPr>
        <w:t xml:space="preserve">　</w:t>
      </w:r>
      <w:r w:rsidR="006D6797" w:rsidRPr="00086566">
        <w:rPr>
          <w:rFonts w:ascii="標楷體" w:eastAsia="標楷體" w:hAnsi="標楷體" w:hint="eastAsia"/>
          <w:bCs/>
          <w:color w:val="000000"/>
          <w:kern w:val="16"/>
        </w:rPr>
        <w:t>關務署</w:t>
      </w:r>
      <w:r w:rsidRPr="00C13ACF">
        <w:rPr>
          <w:rFonts w:ascii="標楷體" w:eastAsia="標楷體" w:hAnsi="標楷體" w:hint="eastAsia"/>
          <w:b/>
          <w:kern w:val="16"/>
        </w:rPr>
        <w:t xml:space="preserve">　　　　　　　　　　</w:t>
      </w:r>
      <w:r w:rsidR="006D6797" w:rsidRPr="00086566">
        <w:rPr>
          <w:rFonts w:ascii="標楷體" w:eastAsia="標楷體" w:hAnsi="標楷體" w:hint="eastAsia"/>
          <w:bCs/>
          <w:color w:val="000000"/>
          <w:kern w:val="16"/>
        </w:rPr>
        <w:t>署長</w:t>
      </w:r>
      <w:r w:rsidR="00C36B2A">
        <w:rPr>
          <w:rFonts w:ascii="標楷體" w:eastAsia="標楷體" w:hAnsi="標楷體" w:hint="eastAsia"/>
          <w:bCs/>
          <w:color w:val="000000"/>
          <w:kern w:val="16"/>
        </w:rPr>
        <w:t xml:space="preserve">　　　</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彭英偉</w:t>
      </w:r>
    </w:p>
    <w:p w14:paraId="11434B5D" w14:textId="77612826" w:rsidR="006D6797"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Pr>
          <w:rFonts w:ascii="標楷體" w:eastAsia="標楷體" w:hAnsi="標楷體" w:hint="eastAsia"/>
          <w:b/>
          <w:color w:val="000000"/>
          <w:kern w:val="16"/>
        </w:rPr>
        <w:t xml:space="preserve">　</w:t>
      </w:r>
      <w:r w:rsidR="006D6797" w:rsidRPr="00086566">
        <w:rPr>
          <w:rFonts w:ascii="標楷體" w:eastAsia="標楷體" w:hAnsi="標楷體" w:hint="eastAsia"/>
          <w:bCs/>
          <w:color w:val="000000"/>
          <w:kern w:val="16"/>
        </w:rPr>
        <w:t>國有財產署</w:t>
      </w:r>
      <w:r w:rsidRPr="00C13ACF">
        <w:rPr>
          <w:rFonts w:ascii="標楷體" w:eastAsia="標楷體" w:hAnsi="標楷體" w:hint="eastAsia"/>
          <w:b/>
          <w:kern w:val="16"/>
        </w:rPr>
        <w:t xml:space="preserve">　　　　　　　　</w:t>
      </w:r>
      <w:r w:rsidR="006D6797" w:rsidRPr="00086566">
        <w:rPr>
          <w:rFonts w:ascii="標楷體" w:eastAsia="標楷體" w:hAnsi="標楷體" w:hint="eastAsia"/>
          <w:bCs/>
          <w:color w:val="000000"/>
          <w:kern w:val="16"/>
        </w:rPr>
        <w:t>署長</w:t>
      </w:r>
      <w:r w:rsidR="00C36B2A">
        <w:rPr>
          <w:rFonts w:ascii="標楷體" w:eastAsia="標楷體" w:hAnsi="標楷體" w:hint="eastAsia"/>
          <w:bCs/>
          <w:color w:val="000000"/>
          <w:kern w:val="16"/>
        </w:rPr>
        <w:t xml:space="preserve">　　　</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曾國基</w:t>
      </w:r>
    </w:p>
    <w:p w14:paraId="794E2BEF" w14:textId="4F7E26C6" w:rsidR="006D6797"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Pr>
          <w:rFonts w:ascii="標楷體" w:eastAsia="標楷體" w:hAnsi="標楷體" w:hint="eastAsia"/>
          <w:b/>
          <w:color w:val="000000"/>
          <w:kern w:val="16"/>
        </w:rPr>
        <w:t xml:space="preserve">　</w:t>
      </w:r>
      <w:r w:rsidR="006D6797" w:rsidRPr="00086566">
        <w:rPr>
          <w:rFonts w:ascii="標楷體" w:eastAsia="標楷體" w:hAnsi="標楷體" w:hint="eastAsia"/>
          <w:bCs/>
          <w:color w:val="000000"/>
          <w:kern w:val="16"/>
        </w:rPr>
        <w:t>財政資訊中心</w:t>
      </w:r>
      <w:r w:rsidRPr="00C13ACF">
        <w:rPr>
          <w:rFonts w:ascii="標楷體" w:eastAsia="標楷體" w:hAnsi="標楷體" w:hint="eastAsia"/>
          <w:b/>
          <w:kern w:val="16"/>
        </w:rPr>
        <w:t xml:space="preserve">　　　　　　　</w:t>
      </w:r>
      <w:r w:rsidR="006D6797" w:rsidRPr="00086566">
        <w:rPr>
          <w:rFonts w:ascii="標楷體" w:eastAsia="標楷體" w:hAnsi="標楷體" w:hint="eastAsia"/>
          <w:bCs/>
          <w:color w:val="000000"/>
          <w:kern w:val="16"/>
        </w:rPr>
        <w:t>主任</w:t>
      </w:r>
      <w:r w:rsidR="00C36B2A">
        <w:rPr>
          <w:rFonts w:ascii="標楷體" w:eastAsia="標楷體" w:hAnsi="標楷體" w:hint="eastAsia"/>
          <w:bCs/>
          <w:color w:val="000000"/>
          <w:kern w:val="16"/>
        </w:rPr>
        <w:t xml:space="preserve">　　　</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張文熙</w:t>
      </w:r>
    </w:p>
    <w:p w14:paraId="31B0C7A6" w14:textId="3AEE4AF1" w:rsidR="006D6797"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sidR="006D6797" w:rsidRPr="00BA3F6A">
        <w:rPr>
          <w:rFonts w:ascii="標楷體" w:eastAsia="標楷體" w:hAnsi="標楷體" w:hint="eastAsia"/>
          <w:b/>
          <w:color w:val="000000"/>
          <w:kern w:val="16"/>
        </w:rPr>
        <w:t>行政院主計總處</w:t>
      </w:r>
      <w:r w:rsidR="006D6797" w:rsidRPr="00086566">
        <w:rPr>
          <w:rFonts w:ascii="標楷體" w:eastAsia="標楷體" w:hAnsi="標楷體" w:hint="eastAsia"/>
          <w:bCs/>
          <w:color w:val="000000"/>
          <w:kern w:val="16"/>
        </w:rPr>
        <w:t>公務預算處</w:t>
      </w:r>
      <w:r w:rsidRPr="00C13ACF">
        <w:rPr>
          <w:rFonts w:ascii="標楷體" w:eastAsia="標楷體" w:hAnsi="標楷體" w:hint="eastAsia"/>
          <w:b/>
          <w:kern w:val="16"/>
        </w:rPr>
        <w:t xml:space="preserve">　　</w:t>
      </w:r>
      <w:r w:rsidR="006D6797" w:rsidRPr="00086566">
        <w:rPr>
          <w:rFonts w:ascii="標楷體" w:eastAsia="標楷體" w:hAnsi="標楷體" w:hint="eastAsia"/>
          <w:bCs/>
          <w:color w:val="000000"/>
          <w:kern w:val="16"/>
        </w:rPr>
        <w:t>專門委員</w:t>
      </w:r>
      <w:r w:rsidR="00C36B2A">
        <w:rPr>
          <w:rFonts w:ascii="標楷體" w:eastAsia="標楷體" w:hAnsi="標楷體" w:hint="eastAsia"/>
          <w:bCs/>
          <w:color w:val="000000"/>
          <w:kern w:val="16"/>
        </w:rPr>
        <w:t xml:space="preserve">　</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黃淑莉</w:t>
      </w:r>
    </w:p>
    <w:p w14:paraId="4FED09EF" w14:textId="77777777" w:rsidR="00C36B2A" w:rsidRPr="00BA3F6A" w:rsidRDefault="00086566" w:rsidP="006D6797">
      <w:pPr>
        <w:tabs>
          <w:tab w:val="left" w:pos="8789"/>
          <w:tab w:val="left" w:pos="9072"/>
          <w:tab w:val="left" w:pos="9214"/>
        </w:tabs>
        <w:kinsoku/>
        <w:rPr>
          <w:rFonts w:ascii="標楷體" w:eastAsia="標楷體" w:hAnsi="標楷體"/>
          <w:b/>
          <w:color w:val="000000"/>
          <w:kern w:val="16"/>
        </w:rPr>
      </w:pPr>
      <w:r w:rsidRPr="00466D64">
        <w:rPr>
          <w:rFonts w:ascii="標楷體" w:eastAsia="標楷體" w:hAnsi="標楷體" w:hint="eastAsia"/>
          <w:b/>
          <w:color w:val="000000"/>
          <w:kern w:val="16"/>
        </w:rPr>
        <w:t xml:space="preserve">　　　　　</w:t>
      </w:r>
      <w:r w:rsidR="006D6797" w:rsidRPr="00BA3F6A">
        <w:rPr>
          <w:rFonts w:ascii="標楷體" w:eastAsia="標楷體" w:hAnsi="標楷體" w:hint="eastAsia"/>
          <w:b/>
          <w:color w:val="000000"/>
          <w:kern w:val="16"/>
        </w:rPr>
        <w:t>國家發展委員會</w:t>
      </w:r>
    </w:p>
    <w:p w14:paraId="1E571BF7" w14:textId="442C5B69" w:rsidR="006D6797" w:rsidRPr="00086566" w:rsidRDefault="00C36B2A" w:rsidP="006D6797">
      <w:pPr>
        <w:tabs>
          <w:tab w:val="left" w:pos="8789"/>
          <w:tab w:val="left" w:pos="9072"/>
          <w:tab w:val="left" w:pos="9214"/>
        </w:tabs>
        <w:kinsoku/>
        <w:rPr>
          <w:rFonts w:ascii="標楷體" w:eastAsia="標楷體" w:hAnsi="標楷體"/>
          <w:bCs/>
          <w:color w:val="000000"/>
          <w:kern w:val="16"/>
        </w:rPr>
      </w:pPr>
      <w:r>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國土區域離島發展處</w:t>
      </w:r>
      <w:r w:rsidR="00086566" w:rsidRPr="00C13ACF">
        <w:rPr>
          <w:rFonts w:ascii="標楷體" w:eastAsia="標楷體" w:hAnsi="標楷體" w:hint="eastAsia"/>
          <w:b/>
          <w:kern w:val="16"/>
        </w:rPr>
        <w:t xml:space="preserve">　</w:t>
      </w:r>
      <w:r>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參事</w:t>
      </w:r>
      <w:r>
        <w:rPr>
          <w:rFonts w:ascii="標楷體" w:eastAsia="標楷體" w:hAnsi="標楷體" w:hint="eastAsia"/>
          <w:bCs/>
          <w:color w:val="000000"/>
          <w:kern w:val="16"/>
        </w:rPr>
        <w:t xml:space="preserve">　　　</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黃文彥</w:t>
      </w:r>
    </w:p>
    <w:p w14:paraId="04508405" w14:textId="3D6E2E8B" w:rsidR="006D6797"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sidR="006D6797" w:rsidRPr="00BA3F6A">
        <w:rPr>
          <w:rFonts w:ascii="標楷體" w:eastAsia="標楷體" w:hAnsi="標楷體" w:hint="eastAsia"/>
          <w:b/>
          <w:color w:val="000000"/>
          <w:kern w:val="16"/>
        </w:rPr>
        <w:t>行政院公共工程委員會</w:t>
      </w:r>
      <w:r w:rsidR="006D6797" w:rsidRPr="00086566">
        <w:rPr>
          <w:rFonts w:ascii="標楷體" w:eastAsia="標楷體" w:hAnsi="標楷體" w:hint="eastAsia"/>
          <w:bCs/>
          <w:color w:val="000000"/>
          <w:kern w:val="16"/>
        </w:rPr>
        <w:t>企劃處</w:t>
      </w:r>
      <w:r w:rsidRPr="00C13ACF">
        <w:rPr>
          <w:rFonts w:ascii="標楷體" w:eastAsia="標楷體" w:hAnsi="標楷體" w:hint="eastAsia"/>
          <w:b/>
          <w:kern w:val="16"/>
        </w:rPr>
        <w:t xml:space="preserve">　</w:t>
      </w:r>
      <w:r w:rsidR="006D6797" w:rsidRPr="00086566">
        <w:rPr>
          <w:rFonts w:ascii="標楷體" w:eastAsia="標楷體" w:hAnsi="標楷體" w:hint="eastAsia"/>
          <w:bCs/>
          <w:color w:val="000000"/>
          <w:kern w:val="16"/>
        </w:rPr>
        <w:t>副處長</w:t>
      </w:r>
      <w:r w:rsidR="00C36B2A">
        <w:rPr>
          <w:rFonts w:ascii="標楷體" w:eastAsia="標楷體" w:hAnsi="標楷體" w:hint="eastAsia"/>
          <w:bCs/>
          <w:color w:val="000000"/>
          <w:kern w:val="16"/>
        </w:rPr>
        <w:t xml:space="preserve">　　</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胡培中</w:t>
      </w:r>
    </w:p>
    <w:p w14:paraId="7E7276B2" w14:textId="77777777" w:rsidR="00C36B2A" w:rsidRPr="00BA3F6A" w:rsidRDefault="00086566" w:rsidP="006D6797">
      <w:pPr>
        <w:tabs>
          <w:tab w:val="left" w:pos="8789"/>
          <w:tab w:val="left" w:pos="9072"/>
          <w:tab w:val="left" w:pos="9214"/>
        </w:tabs>
        <w:kinsoku/>
        <w:rPr>
          <w:rFonts w:ascii="標楷體" w:eastAsia="標楷體" w:hAnsi="標楷體"/>
          <w:b/>
          <w:color w:val="000000"/>
          <w:kern w:val="16"/>
        </w:rPr>
      </w:pPr>
      <w:r w:rsidRPr="00466D64">
        <w:rPr>
          <w:rFonts w:ascii="標楷體" w:eastAsia="標楷體" w:hAnsi="標楷體" w:hint="eastAsia"/>
          <w:b/>
          <w:color w:val="000000"/>
          <w:kern w:val="16"/>
        </w:rPr>
        <w:t xml:space="preserve">　　　　　</w:t>
      </w:r>
      <w:r w:rsidR="006D6797" w:rsidRPr="00BA3F6A">
        <w:rPr>
          <w:rFonts w:ascii="標楷體" w:eastAsia="標楷體" w:hAnsi="標楷體" w:hint="eastAsia"/>
          <w:b/>
          <w:color w:val="000000"/>
          <w:kern w:val="16"/>
        </w:rPr>
        <w:t>行政院環境保護署</w:t>
      </w:r>
    </w:p>
    <w:p w14:paraId="0B7D614E" w14:textId="29B9F000" w:rsidR="006D6797" w:rsidRPr="00086566" w:rsidRDefault="00C36B2A" w:rsidP="006D6797">
      <w:pPr>
        <w:tabs>
          <w:tab w:val="left" w:pos="8789"/>
          <w:tab w:val="left" w:pos="9072"/>
          <w:tab w:val="left" w:pos="9214"/>
        </w:tabs>
        <w:kinsoku/>
        <w:rPr>
          <w:rFonts w:ascii="標楷體" w:eastAsia="標楷體" w:hAnsi="標楷體"/>
          <w:bCs/>
          <w:color w:val="000000"/>
          <w:kern w:val="16"/>
        </w:rPr>
      </w:pPr>
      <w:r>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管制考核及糾紛處理處</w:t>
      </w:r>
      <w:r>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簡任技正</w:t>
      </w:r>
      <w:r>
        <w:rPr>
          <w:rFonts w:ascii="標楷體" w:eastAsia="標楷體" w:hAnsi="標楷體" w:hint="eastAsia"/>
          <w:bCs/>
          <w:color w:val="000000"/>
          <w:kern w:val="16"/>
        </w:rPr>
        <w:t xml:space="preserve">　</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黃輝榮</w:t>
      </w:r>
    </w:p>
    <w:p w14:paraId="1AFD0C71" w14:textId="457361FF" w:rsidR="006D6797"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sidR="006D6797" w:rsidRPr="00BA3F6A">
        <w:rPr>
          <w:rFonts w:ascii="標楷體" w:eastAsia="標楷體" w:hAnsi="標楷體" w:hint="eastAsia"/>
          <w:b/>
          <w:color w:val="000000"/>
          <w:kern w:val="16"/>
        </w:rPr>
        <w:t>經濟部</w:t>
      </w:r>
      <w:r w:rsidR="006D6797" w:rsidRPr="00086566">
        <w:rPr>
          <w:rFonts w:ascii="標楷體" w:eastAsia="標楷體" w:hAnsi="標楷體" w:hint="eastAsia"/>
          <w:bCs/>
          <w:color w:val="000000"/>
          <w:kern w:val="16"/>
        </w:rPr>
        <w:t>研究發展委員會</w:t>
      </w:r>
      <w:r w:rsidR="00C36B2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專門委員</w:t>
      </w:r>
      <w:r w:rsidR="00C36B2A">
        <w:rPr>
          <w:rFonts w:ascii="標楷體" w:eastAsia="標楷體" w:hAnsi="標楷體" w:hint="eastAsia"/>
          <w:bCs/>
          <w:color w:val="000000"/>
          <w:kern w:val="16"/>
        </w:rPr>
        <w:t xml:space="preserve">　</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劉玉蘭</w:t>
      </w:r>
    </w:p>
    <w:p w14:paraId="4D0F0772" w14:textId="755B4363" w:rsidR="006D6797"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sidR="00C36B2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能源局</w:t>
      </w:r>
      <w:r w:rsidR="00C36B2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組長</w:t>
      </w:r>
      <w:r w:rsidR="00C36B2A">
        <w:rPr>
          <w:rFonts w:ascii="標楷體" w:eastAsia="標楷體" w:hAnsi="標楷體" w:hint="eastAsia"/>
          <w:bCs/>
          <w:color w:val="000000"/>
          <w:kern w:val="16"/>
        </w:rPr>
        <w:t xml:space="preserve">　　　</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陳崇憲</w:t>
      </w:r>
    </w:p>
    <w:p w14:paraId="7289E01F" w14:textId="5B963A5F" w:rsidR="006D6797"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lastRenderedPageBreak/>
        <w:t xml:space="preserve">　　　　　</w:t>
      </w:r>
      <w:r w:rsidR="00C36B2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工業局</w:t>
      </w:r>
      <w:r w:rsidR="00C36B2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主任秘書</w:t>
      </w:r>
      <w:r w:rsidR="00C36B2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周崇斌</w:t>
      </w:r>
    </w:p>
    <w:p w14:paraId="3CE10BBD" w14:textId="56F2F8C2" w:rsidR="006D6797"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sidR="006D6797" w:rsidRPr="00800393">
        <w:rPr>
          <w:rFonts w:ascii="標楷體" w:eastAsia="標楷體" w:hAnsi="標楷體" w:hint="eastAsia"/>
          <w:b/>
          <w:color w:val="000000"/>
          <w:kern w:val="16"/>
        </w:rPr>
        <w:t>交通部</w:t>
      </w:r>
      <w:r w:rsidR="006D6797" w:rsidRPr="00086566">
        <w:rPr>
          <w:rFonts w:ascii="標楷體" w:eastAsia="標楷體" w:hAnsi="標楷體" w:hint="eastAsia"/>
          <w:bCs/>
          <w:color w:val="000000"/>
          <w:kern w:val="16"/>
        </w:rPr>
        <w:t>參事室</w:t>
      </w:r>
      <w:r w:rsidR="00C36B2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專門委員</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傅桂蘭</w:t>
      </w:r>
    </w:p>
    <w:p w14:paraId="05FBE883" w14:textId="68D53885" w:rsidR="006D6797"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Pr>
          <w:rFonts w:ascii="標楷體" w:eastAsia="標楷體" w:hAnsi="標楷體" w:hint="eastAsia"/>
          <w:b/>
          <w:color w:val="000000"/>
          <w:kern w:val="16"/>
        </w:rPr>
        <w:t xml:space="preserve">　</w:t>
      </w:r>
      <w:r w:rsidR="006D6797" w:rsidRPr="00086566">
        <w:rPr>
          <w:rFonts w:ascii="標楷體" w:eastAsia="標楷體" w:hAnsi="標楷體" w:hint="eastAsia"/>
          <w:bCs/>
          <w:color w:val="000000"/>
          <w:kern w:val="16"/>
        </w:rPr>
        <w:t>路政司</w:t>
      </w:r>
      <w:r w:rsidR="00C36B2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簡任技正</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劉孟翰</w:t>
      </w:r>
    </w:p>
    <w:p w14:paraId="644D956B" w14:textId="1092876F" w:rsidR="006D6797"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Pr>
          <w:rFonts w:ascii="標楷體" w:eastAsia="標楷體" w:hAnsi="標楷體" w:hint="eastAsia"/>
          <w:b/>
          <w:color w:val="000000"/>
          <w:kern w:val="16"/>
        </w:rPr>
        <w:t xml:space="preserve">　</w:t>
      </w:r>
      <w:r w:rsidR="006D6797" w:rsidRPr="00086566">
        <w:rPr>
          <w:rFonts w:ascii="標楷體" w:eastAsia="標楷體" w:hAnsi="標楷體" w:hint="eastAsia"/>
          <w:bCs/>
          <w:color w:val="000000"/>
          <w:kern w:val="16"/>
        </w:rPr>
        <w:t>航政司</w:t>
      </w:r>
      <w:r w:rsidR="00C36B2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專門委員</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陳孝齊</w:t>
      </w:r>
    </w:p>
    <w:p w14:paraId="61BCFC39" w14:textId="7C8E4CE6" w:rsidR="006D6797"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sidR="006D6797" w:rsidRPr="00800393">
        <w:rPr>
          <w:rFonts w:ascii="標楷體" w:eastAsia="標楷體" w:hAnsi="標楷體" w:hint="eastAsia"/>
          <w:b/>
          <w:color w:val="000000"/>
          <w:kern w:val="16"/>
        </w:rPr>
        <w:t>國家通訊傳播委員會</w:t>
      </w:r>
      <w:r w:rsidR="006D6797" w:rsidRPr="00086566">
        <w:rPr>
          <w:rFonts w:ascii="標楷體" w:eastAsia="標楷體" w:hAnsi="標楷體" w:hint="eastAsia"/>
          <w:bCs/>
          <w:color w:val="000000"/>
          <w:kern w:val="16"/>
        </w:rPr>
        <w:t>法律事務處</w:t>
      </w:r>
      <w:r w:rsidR="00C36B2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專門委員</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李文秀</w:t>
      </w:r>
    </w:p>
    <w:p w14:paraId="747ABCB2" w14:textId="3FDC1B3C" w:rsidR="006D6797"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sidR="006D6797" w:rsidRPr="00800393">
        <w:rPr>
          <w:rFonts w:ascii="標楷體" w:eastAsia="標楷體" w:hAnsi="標楷體" w:hint="eastAsia"/>
          <w:b/>
          <w:color w:val="000000"/>
          <w:kern w:val="16"/>
        </w:rPr>
        <w:t>內政部</w:t>
      </w:r>
      <w:r w:rsidR="006D6797" w:rsidRPr="00086566">
        <w:rPr>
          <w:rFonts w:ascii="標楷體" w:eastAsia="標楷體" w:hAnsi="標楷體" w:hint="eastAsia"/>
          <w:bCs/>
          <w:color w:val="000000"/>
          <w:kern w:val="16"/>
        </w:rPr>
        <w:t>營建署</w:t>
      </w:r>
      <w:r w:rsidR="00C36B2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科長</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林嘉宏</w:t>
      </w:r>
    </w:p>
    <w:p w14:paraId="640C1021" w14:textId="17C4AB16" w:rsidR="006D6797"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sidR="006D6797" w:rsidRPr="00800393">
        <w:rPr>
          <w:rFonts w:ascii="標楷體" w:eastAsia="標楷體" w:hAnsi="標楷體" w:hint="eastAsia"/>
          <w:b/>
          <w:color w:val="000000"/>
          <w:kern w:val="16"/>
        </w:rPr>
        <w:t>衛生福利部</w:t>
      </w:r>
      <w:r w:rsidR="006D6797" w:rsidRPr="00086566">
        <w:rPr>
          <w:rFonts w:ascii="標楷體" w:eastAsia="標楷體" w:hAnsi="標楷體" w:hint="eastAsia"/>
          <w:bCs/>
          <w:color w:val="000000"/>
          <w:kern w:val="16"/>
        </w:rPr>
        <w:t>綜合規劃司</w:t>
      </w:r>
      <w:r w:rsidR="00C36B2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簡任技正</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王玲紅</w:t>
      </w:r>
    </w:p>
    <w:p w14:paraId="15334084" w14:textId="49CD8218" w:rsidR="00086566"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Pr>
          <w:rFonts w:ascii="標楷體" w:eastAsia="標楷體" w:hAnsi="標楷體" w:hint="eastAsia"/>
          <w:b/>
          <w:color w:val="000000"/>
          <w:kern w:val="16"/>
        </w:rPr>
        <w:t xml:space="preserve">　</w:t>
      </w:r>
      <w:r w:rsidR="006D6797" w:rsidRPr="00086566">
        <w:rPr>
          <w:rFonts w:ascii="標楷體" w:eastAsia="標楷體" w:hAnsi="標楷體" w:hint="eastAsia"/>
          <w:bCs/>
          <w:color w:val="000000"/>
          <w:kern w:val="16"/>
        </w:rPr>
        <w:t>長期照顧司</w:t>
      </w:r>
      <w:r w:rsidR="00C36B2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技正</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蕭玉梅</w:t>
      </w:r>
    </w:p>
    <w:p w14:paraId="290985DF" w14:textId="4651ACA8" w:rsidR="00086566"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Pr>
          <w:rFonts w:ascii="標楷體" w:eastAsia="標楷體" w:hAnsi="標楷體" w:hint="eastAsia"/>
          <w:b/>
          <w:color w:val="000000"/>
          <w:kern w:val="16"/>
        </w:rPr>
        <w:t xml:space="preserve">　</w:t>
      </w:r>
      <w:r w:rsidR="006D6797" w:rsidRPr="00086566">
        <w:rPr>
          <w:rFonts w:ascii="標楷體" w:eastAsia="標楷體" w:hAnsi="標楷體" w:hint="eastAsia"/>
          <w:bCs/>
          <w:color w:val="000000"/>
          <w:kern w:val="16"/>
        </w:rPr>
        <w:t>附屬醫療及社會福利機構管理會技士</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蔡麗雲</w:t>
      </w:r>
    </w:p>
    <w:p w14:paraId="1955F519" w14:textId="3D9130E9" w:rsidR="00086566"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sidR="006D6797" w:rsidRPr="00800393">
        <w:rPr>
          <w:rFonts w:ascii="標楷體" w:eastAsia="標楷體" w:hAnsi="標楷體" w:hint="eastAsia"/>
          <w:b/>
          <w:color w:val="000000"/>
          <w:kern w:val="16"/>
        </w:rPr>
        <w:t>教育部</w:t>
      </w:r>
      <w:r w:rsidR="006D6797" w:rsidRPr="00086566">
        <w:rPr>
          <w:rFonts w:ascii="標楷體" w:eastAsia="標楷體" w:hAnsi="標楷體" w:hint="eastAsia"/>
          <w:bCs/>
          <w:color w:val="000000"/>
          <w:kern w:val="16"/>
        </w:rPr>
        <w:t>秘書處</w:t>
      </w:r>
      <w:r w:rsidR="00C36B2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專門委員</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楊淑華</w:t>
      </w:r>
    </w:p>
    <w:p w14:paraId="2D2A84C5" w14:textId="3C29B18F" w:rsidR="00086566"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Pr>
          <w:rFonts w:ascii="標楷體" w:eastAsia="標楷體" w:hAnsi="標楷體" w:hint="eastAsia"/>
          <w:b/>
          <w:color w:val="000000"/>
          <w:kern w:val="16"/>
        </w:rPr>
        <w:t xml:space="preserve">　</w:t>
      </w:r>
      <w:r w:rsidR="006D6797" w:rsidRPr="00086566">
        <w:rPr>
          <w:rFonts w:ascii="標楷體" w:eastAsia="標楷體" w:hAnsi="標楷體" w:hint="eastAsia"/>
          <w:bCs/>
          <w:color w:val="000000"/>
          <w:kern w:val="16"/>
        </w:rPr>
        <w:t>國民及學前教育署國中小組</w:t>
      </w:r>
      <w:r w:rsidR="00C36B2A">
        <w:rPr>
          <w:rFonts w:ascii="標楷體" w:eastAsia="標楷體" w:hAnsi="標楷體" w:hint="eastAsia"/>
          <w:bCs/>
          <w:color w:val="000000"/>
          <w:kern w:val="16"/>
        </w:rPr>
        <w:t xml:space="preserve">　　</w:t>
      </w:r>
      <w:r w:rsidR="00BA3F6A" w:rsidRPr="00086566">
        <w:rPr>
          <w:rFonts w:ascii="標楷體" w:eastAsia="標楷體" w:hAnsi="標楷體" w:hint="eastAsia"/>
          <w:bCs/>
          <w:color w:val="000000"/>
          <w:kern w:val="16"/>
        </w:rPr>
        <w:t>專門委員</w:t>
      </w:r>
      <w:r w:rsidR="00BA3F6A">
        <w:rPr>
          <w:rFonts w:ascii="標楷體" w:eastAsia="標楷體" w:hAnsi="標楷體" w:hint="eastAsia"/>
          <w:bCs/>
          <w:color w:val="000000"/>
          <w:kern w:val="16"/>
        </w:rPr>
        <w:t xml:space="preserve">　林淑敏</w:t>
      </w:r>
    </w:p>
    <w:p w14:paraId="5A717DEF" w14:textId="645C2844" w:rsidR="00086566" w:rsidRPr="00086566" w:rsidRDefault="00086566" w:rsidP="006D6797">
      <w:pPr>
        <w:tabs>
          <w:tab w:val="left" w:pos="8789"/>
          <w:tab w:val="left" w:pos="9072"/>
          <w:tab w:val="left" w:pos="9214"/>
        </w:tabs>
        <w:kinsoku/>
        <w:rPr>
          <w:rFonts w:ascii="標楷體" w:eastAsia="標楷體" w:hAnsi="標楷體"/>
          <w:bCs/>
          <w:color w:val="000000"/>
          <w:kern w:val="16"/>
        </w:rPr>
      </w:pPr>
      <w:r w:rsidRPr="00466D64">
        <w:rPr>
          <w:rFonts w:ascii="標楷體" w:eastAsia="標楷體" w:hAnsi="標楷體" w:hint="eastAsia"/>
          <w:b/>
          <w:color w:val="000000"/>
          <w:kern w:val="16"/>
        </w:rPr>
        <w:t xml:space="preserve">　　　　　</w:t>
      </w:r>
      <w:r w:rsidR="006D6797" w:rsidRPr="00800393">
        <w:rPr>
          <w:rFonts w:ascii="標楷體" w:eastAsia="標楷體" w:hAnsi="標楷體" w:hint="eastAsia"/>
          <w:b/>
          <w:color w:val="000000"/>
          <w:kern w:val="16"/>
        </w:rPr>
        <w:t>法務部</w:t>
      </w:r>
      <w:r w:rsidR="00C36B2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參事</w:t>
      </w:r>
      <w:r w:rsidR="00C36B2A">
        <w:rPr>
          <w:rFonts w:ascii="標楷體" w:eastAsia="標楷體" w:hAnsi="標楷體" w:hint="eastAsia"/>
          <w:bCs/>
          <w:color w:val="000000"/>
          <w:kern w:val="16"/>
        </w:rPr>
        <w:t xml:space="preserve">　　</w:t>
      </w:r>
      <w:r w:rsidR="00BA3F6A">
        <w:rPr>
          <w:rFonts w:ascii="標楷體" w:eastAsia="標楷體" w:hAnsi="標楷體" w:hint="eastAsia"/>
          <w:bCs/>
          <w:color w:val="000000"/>
          <w:kern w:val="16"/>
        </w:rPr>
        <w:t xml:space="preserve">　</w:t>
      </w:r>
      <w:r w:rsidR="006D6797" w:rsidRPr="00086566">
        <w:rPr>
          <w:rFonts w:ascii="標楷體" w:eastAsia="標楷體" w:hAnsi="標楷體" w:hint="eastAsia"/>
          <w:bCs/>
          <w:color w:val="000000"/>
          <w:kern w:val="16"/>
        </w:rPr>
        <w:t>林豐文</w:t>
      </w:r>
    </w:p>
    <w:p w14:paraId="08EA11E6" w14:textId="3DE59768" w:rsidR="00086566" w:rsidRPr="00BA3F6A" w:rsidRDefault="00BA3F6A" w:rsidP="002459DC">
      <w:pPr>
        <w:tabs>
          <w:tab w:val="left" w:pos="8789"/>
          <w:tab w:val="left" w:pos="9072"/>
          <w:tab w:val="left" w:pos="9214"/>
        </w:tabs>
        <w:kinsoku/>
        <w:rPr>
          <w:rFonts w:ascii="標楷體" w:eastAsia="標楷體" w:hAnsi="標楷體"/>
          <w:b/>
          <w:color w:val="000000"/>
          <w:kern w:val="16"/>
        </w:rPr>
      </w:pPr>
      <w:r>
        <w:rPr>
          <w:rFonts w:ascii="標楷體" w:eastAsia="標楷體" w:hAnsi="標楷體" w:hint="eastAsia"/>
          <w:kern w:val="16"/>
        </w:rPr>
        <w:t xml:space="preserve">　　　　</w:t>
      </w:r>
      <w:r w:rsidRPr="00466D64">
        <w:rPr>
          <w:rFonts w:ascii="標楷體" w:eastAsia="標楷體" w:hAnsi="標楷體" w:hint="eastAsia"/>
          <w:spacing w:val="-24"/>
        </w:rPr>
        <w:t>11</w:t>
      </w:r>
      <w:r>
        <w:rPr>
          <w:rFonts w:ascii="標楷體" w:eastAsia="標楷體" w:hAnsi="標楷體"/>
          <w:spacing w:val="-24"/>
        </w:rPr>
        <w:t>1</w:t>
      </w:r>
      <w:r w:rsidRPr="00466D64">
        <w:rPr>
          <w:rFonts w:ascii="標楷體" w:eastAsia="標楷體" w:hAnsi="標楷體" w:hint="eastAsia"/>
          <w:spacing w:val="-24"/>
        </w:rPr>
        <w:t>年</w:t>
      </w:r>
      <w:r>
        <w:rPr>
          <w:rFonts w:ascii="標楷體" w:eastAsia="標楷體" w:hAnsi="標楷體"/>
          <w:spacing w:val="-24"/>
        </w:rPr>
        <w:t>3</w:t>
      </w:r>
      <w:r w:rsidRPr="00466D64">
        <w:rPr>
          <w:rFonts w:ascii="標楷體" w:eastAsia="標楷體" w:hAnsi="標楷體" w:hint="eastAsia"/>
          <w:spacing w:val="-24"/>
        </w:rPr>
        <w:t>月2</w:t>
      </w:r>
      <w:r>
        <w:rPr>
          <w:rFonts w:ascii="標楷體" w:eastAsia="標楷體" w:hAnsi="標楷體"/>
          <w:spacing w:val="-24"/>
        </w:rPr>
        <w:t>3</w:t>
      </w:r>
      <w:r w:rsidRPr="00466D64">
        <w:rPr>
          <w:rFonts w:ascii="標楷體" w:eastAsia="標楷體" w:hAnsi="標楷體" w:hint="eastAsia"/>
          <w:spacing w:val="-24"/>
        </w:rPr>
        <w:t>日（星期</w:t>
      </w:r>
      <w:r>
        <w:rPr>
          <w:rFonts w:ascii="標楷體" w:eastAsia="標楷體" w:hAnsi="標楷體" w:hint="eastAsia"/>
          <w:spacing w:val="-24"/>
        </w:rPr>
        <w:t>三</w:t>
      </w:r>
      <w:r w:rsidRPr="00466D64">
        <w:rPr>
          <w:rFonts w:ascii="標楷體" w:eastAsia="標楷體" w:hAnsi="標楷體"/>
          <w:spacing w:val="-24"/>
        </w:rPr>
        <w:t>）</w:t>
      </w:r>
      <w:r>
        <w:rPr>
          <w:rFonts w:ascii="標楷體" w:eastAsia="標楷體" w:hAnsi="標楷體" w:hint="eastAsia"/>
          <w:spacing w:val="-24"/>
        </w:rPr>
        <w:t>下午</w:t>
      </w:r>
    </w:p>
    <w:p w14:paraId="031C7341" w14:textId="7261D99E" w:rsidR="00BA3F6A" w:rsidRPr="00BA3F6A" w:rsidRDefault="00800393" w:rsidP="00BA3F6A">
      <w:pPr>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BA3F6A" w:rsidRPr="00800393">
        <w:rPr>
          <w:rFonts w:ascii="標楷體" w:eastAsia="標楷體" w:hAnsi="標楷體" w:hint="eastAsia"/>
          <w:b/>
          <w:bCs/>
          <w:color w:val="000000"/>
          <w:kern w:val="16"/>
        </w:rPr>
        <w:t>中央銀行</w:t>
      </w: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總裁</w:t>
      </w:r>
      <w:r>
        <w:rPr>
          <w:rFonts w:ascii="標楷體" w:eastAsia="標楷體" w:hAnsi="標楷體" w:hint="eastAsia"/>
          <w:b/>
          <w:color w:val="000000"/>
          <w:kern w:val="16"/>
        </w:rPr>
        <w:t xml:space="preserve">　</w:t>
      </w: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楊金龍</w:t>
      </w:r>
    </w:p>
    <w:p w14:paraId="757E31A4" w14:textId="53B77F8A" w:rsidR="00BA3F6A" w:rsidRPr="00BA3F6A" w:rsidRDefault="00800393" w:rsidP="00BA3F6A">
      <w:pPr>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w:t>
      </w:r>
      <w:r>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發行局</w:t>
      </w:r>
      <w:r>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局長</w:t>
      </w: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鄧延達</w:t>
      </w:r>
    </w:p>
    <w:p w14:paraId="05436728" w14:textId="0D1204C3" w:rsidR="00BA3F6A" w:rsidRPr="00BA3F6A" w:rsidRDefault="00800393" w:rsidP="00BA3F6A">
      <w:pPr>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外匯局</w:t>
      </w: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局長</w:t>
      </w: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蔡烱民</w:t>
      </w:r>
    </w:p>
    <w:p w14:paraId="05D9166B" w14:textId="74493CE7" w:rsidR="00BA3F6A" w:rsidRPr="00BA3F6A" w:rsidRDefault="00800393" w:rsidP="00BA3F6A">
      <w:pPr>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秘書處</w:t>
      </w: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處長</w:t>
      </w: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梁建菁</w:t>
      </w:r>
    </w:p>
    <w:p w14:paraId="743DB2C7" w14:textId="72FF61DE" w:rsidR="00BA3F6A" w:rsidRPr="00BA3F6A" w:rsidRDefault="00800393" w:rsidP="00BA3F6A">
      <w:pPr>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會計處</w:t>
      </w: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處長</w:t>
      </w: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郭淑蕙</w:t>
      </w:r>
    </w:p>
    <w:p w14:paraId="7E006710" w14:textId="7C7F3029" w:rsidR="00BA3F6A" w:rsidRPr="00BA3F6A" w:rsidRDefault="00800393" w:rsidP="00BA3F6A">
      <w:pPr>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中央印製廠</w:t>
      </w: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總經理</w:t>
      </w: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喻家聲</w:t>
      </w:r>
    </w:p>
    <w:p w14:paraId="707ECADE" w14:textId="01803CDA" w:rsidR="00BA3F6A" w:rsidRPr="00BA3F6A" w:rsidRDefault="00800393" w:rsidP="00BA3F6A">
      <w:pPr>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中央造幣廠</w:t>
      </w: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廠長</w:t>
      </w: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周盛商</w:t>
      </w:r>
    </w:p>
    <w:p w14:paraId="0DFF59F0" w14:textId="5660B3E5" w:rsidR="00356D46" w:rsidRPr="00466D64" w:rsidRDefault="00800393" w:rsidP="00BA3F6A">
      <w:pPr>
        <w:autoSpaceDE w:val="0"/>
        <w:autoSpaceDN w:val="0"/>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BA3F6A" w:rsidRPr="00800393">
        <w:rPr>
          <w:rFonts w:ascii="標楷體" w:eastAsia="標楷體" w:hAnsi="標楷體" w:hint="eastAsia"/>
          <w:b/>
          <w:bCs/>
          <w:color w:val="000000"/>
          <w:kern w:val="16"/>
        </w:rPr>
        <w:t>行政院主計總處</w:t>
      </w:r>
      <w:r w:rsidR="00BA3F6A" w:rsidRPr="00BA3F6A">
        <w:rPr>
          <w:rFonts w:ascii="標楷體" w:eastAsia="標楷體" w:hAnsi="標楷體" w:hint="eastAsia"/>
          <w:color w:val="000000"/>
          <w:kern w:val="16"/>
        </w:rPr>
        <w:t>基金預算處</w:t>
      </w: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專門委員</w:t>
      </w:r>
      <w:r w:rsidRPr="00466D64">
        <w:rPr>
          <w:rFonts w:ascii="標楷體" w:eastAsia="標楷體" w:hAnsi="標楷體" w:hint="eastAsia"/>
          <w:b/>
          <w:color w:val="000000"/>
          <w:kern w:val="16"/>
        </w:rPr>
        <w:t xml:space="preserve">　</w:t>
      </w:r>
      <w:r w:rsidR="00BA3F6A" w:rsidRPr="00BA3F6A">
        <w:rPr>
          <w:rFonts w:ascii="標楷體" w:eastAsia="標楷體" w:hAnsi="標楷體" w:hint="eastAsia"/>
          <w:color w:val="000000"/>
          <w:kern w:val="16"/>
        </w:rPr>
        <w:t>陳雅惠</w:t>
      </w:r>
    </w:p>
    <w:p w14:paraId="73280857" w14:textId="5C832EA4" w:rsidR="00466D64" w:rsidRPr="00466D64" w:rsidRDefault="00466D64" w:rsidP="00466D64">
      <w:pPr>
        <w:tabs>
          <w:tab w:val="left" w:pos="3660"/>
        </w:tabs>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 xml:space="preserve">主　　席　</w:t>
      </w:r>
      <w:r w:rsidR="00A90D6A" w:rsidRPr="00A90D6A">
        <w:rPr>
          <w:rFonts w:ascii="標楷體" w:eastAsia="標楷體" w:hAnsi="標楷體" w:cs="Courier New" w:hint="eastAsia"/>
          <w:kern w:val="16"/>
        </w:rPr>
        <w:t>沈召集委員發惠</w:t>
      </w:r>
    </w:p>
    <w:p w14:paraId="61D4DBDA" w14:textId="29C04EB7" w:rsidR="00466D64" w:rsidRPr="00466D64" w:rsidRDefault="00466D64" w:rsidP="00466D64">
      <w:pPr>
        <w:tabs>
          <w:tab w:val="left" w:pos="3660"/>
        </w:tabs>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 xml:space="preserve">專門委員　</w:t>
      </w:r>
      <w:r w:rsidR="00C77B8C">
        <w:rPr>
          <w:rFonts w:ascii="標楷體" w:eastAsia="標楷體" w:hAnsi="標楷體" w:cs="Courier New" w:hint="eastAsia"/>
          <w:kern w:val="16"/>
        </w:rPr>
        <w:t>陳玉清</w:t>
      </w:r>
    </w:p>
    <w:p w14:paraId="3E0329EA" w14:textId="08571F18" w:rsidR="00466D64" w:rsidRPr="00466D64" w:rsidRDefault="00466D64" w:rsidP="00466D64">
      <w:pPr>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 xml:space="preserve">主任秘書　</w:t>
      </w:r>
      <w:r w:rsidR="00C77B8C" w:rsidRPr="00466D64">
        <w:rPr>
          <w:rFonts w:ascii="標楷體" w:eastAsia="標楷體" w:hAnsi="標楷體" w:cs="Courier New" w:hint="eastAsia"/>
          <w:kern w:val="16"/>
        </w:rPr>
        <w:t>謝淑津</w:t>
      </w:r>
    </w:p>
    <w:p w14:paraId="1A6BC92E" w14:textId="5198791A" w:rsidR="00466D64" w:rsidRPr="00466D64" w:rsidRDefault="00466D64" w:rsidP="00466D64">
      <w:pPr>
        <w:tabs>
          <w:tab w:val="left" w:pos="5103"/>
          <w:tab w:val="left" w:pos="8364"/>
        </w:tabs>
        <w:autoSpaceDE w:val="0"/>
        <w:ind w:left="3"/>
        <w:jc w:val="both"/>
      </w:pPr>
      <w:r w:rsidRPr="00466D64">
        <w:rPr>
          <w:rFonts w:ascii="標楷體" w:eastAsia="標楷體" w:hAnsi="標楷體" w:hint="eastAsia"/>
        </w:rPr>
        <w:t xml:space="preserve">紀　　錄　秘　書　郭錦貴　</w:t>
      </w:r>
      <w:r w:rsidRPr="00C77B8C">
        <w:rPr>
          <w:rFonts w:ascii="標楷體" w:eastAsia="標楷體" w:hAnsi="標楷體" w:hint="eastAsia"/>
        </w:rPr>
        <w:t>研究員</w:t>
      </w:r>
      <w:r w:rsidRPr="00466D64">
        <w:rPr>
          <w:rFonts w:ascii="標楷體" w:eastAsia="標楷體" w:hAnsi="標楷體" w:hint="eastAsia"/>
        </w:rPr>
        <w:t xml:space="preserve">　黃惠雯　編　審　黃美菁　</w:t>
      </w:r>
    </w:p>
    <w:p w14:paraId="7A662775" w14:textId="77777777" w:rsidR="00523B27" w:rsidRDefault="00466D64" w:rsidP="00466D64">
      <w:pPr>
        <w:tabs>
          <w:tab w:val="left" w:pos="5103"/>
        </w:tabs>
        <w:autoSpaceDE w:val="0"/>
        <w:ind w:left="3"/>
        <w:jc w:val="both"/>
        <w:rPr>
          <w:rFonts w:ascii="標楷體" w:eastAsia="標楷體" w:hAnsi="標楷體"/>
        </w:rPr>
      </w:pPr>
      <w:r w:rsidRPr="00466D64">
        <w:rPr>
          <w:rFonts w:ascii="標楷體" w:eastAsia="標楷體" w:hAnsi="標楷體" w:hint="eastAsia"/>
        </w:rPr>
        <w:t xml:space="preserve">　　　　　科　長　蔡明哲　專　員　謝禎鴻　科　員　沈克彬　</w:t>
      </w:r>
    </w:p>
    <w:p w14:paraId="3AA1D966" w14:textId="3642214A" w:rsidR="00FE18BC" w:rsidRDefault="00FE18BC" w:rsidP="00770665">
      <w:pPr>
        <w:autoSpaceDE w:val="0"/>
        <w:autoSpaceDN w:val="0"/>
        <w:ind w:leftChars="201" w:left="643"/>
        <w:jc w:val="both"/>
        <w:rPr>
          <w:rFonts w:hAnsi="標楷體"/>
          <w:b/>
        </w:rPr>
      </w:pPr>
      <w:r>
        <w:rPr>
          <w:rFonts w:hAnsi="標楷體" w:hint="eastAsia"/>
          <w:b/>
        </w:rPr>
        <w:t>報告事項</w:t>
      </w:r>
    </w:p>
    <w:p w14:paraId="25EAB9D9" w14:textId="0B7AC901" w:rsidR="00F95AE4" w:rsidRPr="00F95AE4" w:rsidRDefault="00671AFD" w:rsidP="001F1892">
      <w:pPr>
        <w:kinsoku/>
        <w:overflowPunct/>
        <w:autoSpaceDE w:val="0"/>
        <w:autoSpaceDN w:val="0"/>
        <w:adjustRightInd/>
        <w:snapToGrid/>
        <w:jc w:val="both"/>
        <w:rPr>
          <w:rFonts w:ascii="標楷體" w:eastAsia="標楷體" w:hAnsi="標楷體"/>
          <w:bCs/>
          <w:color w:val="000000"/>
          <w:kern w:val="0"/>
        </w:rPr>
      </w:pPr>
      <w:r>
        <w:rPr>
          <w:rFonts w:ascii="標楷體" w:eastAsia="標楷體" w:hAnsi="標楷體" w:hint="eastAsia"/>
          <w:bCs/>
          <w:color w:val="000000"/>
          <w:kern w:val="0"/>
        </w:rPr>
        <w:t>一、</w:t>
      </w:r>
      <w:r w:rsidR="00F95AE4" w:rsidRPr="00F95AE4">
        <w:rPr>
          <w:rFonts w:ascii="標楷體" w:eastAsia="標楷體" w:hAnsi="標楷體" w:hint="eastAsia"/>
          <w:bCs/>
          <w:color w:val="000000"/>
          <w:kern w:val="0"/>
        </w:rPr>
        <w:t>宣讀上次會議議事錄。</w:t>
      </w:r>
    </w:p>
    <w:p w14:paraId="031D7366" w14:textId="78075863" w:rsidR="00F95AE4" w:rsidRPr="00F95AE4" w:rsidRDefault="00F95AE4" w:rsidP="00F274BA">
      <w:pPr>
        <w:kinsoku/>
        <w:overflowPunct/>
        <w:autoSpaceDE w:val="0"/>
        <w:autoSpaceDN w:val="0"/>
        <w:adjustRightInd/>
        <w:snapToGrid/>
        <w:spacing w:afterLines="50" w:after="180"/>
        <w:jc w:val="both"/>
        <w:rPr>
          <w:rFonts w:ascii="標楷體" w:eastAsia="標楷體" w:hAnsi="標楷體"/>
          <w:bCs/>
          <w:color w:val="000000"/>
          <w:kern w:val="0"/>
        </w:rPr>
      </w:pPr>
      <w:r w:rsidRPr="001F1892">
        <w:rPr>
          <w:rFonts w:ascii="標楷體" w:eastAsia="標楷體" w:hAnsi="標楷體" w:hint="eastAsia"/>
          <w:b/>
          <w:bCs/>
          <w:color w:val="000000"/>
          <w:kern w:val="0"/>
        </w:rPr>
        <w:lastRenderedPageBreak/>
        <w:t>決定：</w:t>
      </w:r>
      <w:r>
        <w:rPr>
          <w:rFonts w:ascii="標楷體" w:eastAsia="標楷體" w:hAnsi="標楷體" w:hint="eastAsia"/>
          <w:bCs/>
          <w:color w:val="000000"/>
          <w:kern w:val="0"/>
        </w:rPr>
        <w:t>議事錄確定。</w:t>
      </w:r>
    </w:p>
    <w:p w14:paraId="55007F26" w14:textId="22DC4D44" w:rsidR="00F274BA" w:rsidRDefault="00F274BA" w:rsidP="00F274BA">
      <w:pPr>
        <w:autoSpaceDE w:val="0"/>
        <w:autoSpaceDN w:val="0"/>
        <w:ind w:leftChars="201" w:left="643"/>
        <w:jc w:val="both"/>
        <w:rPr>
          <w:rFonts w:ascii="標楷體" w:eastAsia="標楷體" w:hAnsi="標楷體" w:cs="標楷體"/>
          <w:b/>
          <w:kern w:val="0"/>
        </w:rPr>
      </w:pPr>
      <w:r>
        <w:rPr>
          <w:rFonts w:hAnsi="標楷體" w:hint="eastAsia"/>
          <w:b/>
        </w:rPr>
        <w:t>討論事項</w:t>
      </w:r>
    </w:p>
    <w:p w14:paraId="6032F913" w14:textId="5E979747" w:rsidR="00F274BA" w:rsidRPr="00C66236" w:rsidRDefault="00F274BA" w:rsidP="00F274BA">
      <w:pPr>
        <w:kinsoku/>
        <w:overflowPunct/>
        <w:autoSpaceDE w:val="0"/>
        <w:autoSpaceDN w:val="0"/>
        <w:adjustRightInd/>
        <w:snapToGrid/>
        <w:ind w:left="640" w:hangingChars="200" w:hanging="640"/>
        <w:jc w:val="both"/>
        <w:rPr>
          <w:rFonts w:ascii="標楷體" w:eastAsia="標楷體" w:hAnsi="標楷體" w:cs="標楷體"/>
          <w:kern w:val="0"/>
        </w:rPr>
      </w:pPr>
      <w:r w:rsidRPr="00C66236">
        <w:rPr>
          <w:rFonts w:ascii="標楷體" w:eastAsia="標楷體" w:hAnsi="標楷體" w:cs="標楷體" w:hint="eastAsia"/>
          <w:kern w:val="0"/>
        </w:rPr>
        <w:t>一、繼續審查「促進民間參與公共建設法」5案：</w:t>
      </w:r>
    </w:p>
    <w:p w14:paraId="1E8A2D4A" w14:textId="77777777" w:rsidR="00F274BA" w:rsidRPr="00C66236" w:rsidRDefault="00F274BA" w:rsidP="00C66236">
      <w:pPr>
        <w:kinsoku/>
        <w:overflowPunct/>
        <w:autoSpaceDE w:val="0"/>
        <w:autoSpaceDN w:val="0"/>
        <w:adjustRightInd/>
        <w:snapToGrid/>
        <w:ind w:left="960" w:hangingChars="300" w:hanging="960"/>
        <w:jc w:val="both"/>
        <w:rPr>
          <w:rFonts w:ascii="標楷體" w:eastAsia="標楷體" w:hAnsi="標楷體" w:cs="標楷體"/>
          <w:kern w:val="0"/>
        </w:rPr>
      </w:pPr>
      <w:r w:rsidRPr="00C66236">
        <w:rPr>
          <w:rFonts w:ascii="標楷體" w:eastAsia="標楷體" w:hAnsi="標楷體" w:cs="標楷體" w:hint="eastAsia"/>
          <w:kern w:val="0"/>
        </w:rPr>
        <w:t>（一）本院委員鍾佳濱等17人、委員賴士葆等16人分別擬具「促進民間參與公共建設法第二十九條條文修正草案」等2案。</w:t>
      </w:r>
    </w:p>
    <w:p w14:paraId="35F82C20" w14:textId="77777777" w:rsidR="00F274BA" w:rsidRPr="00C66236" w:rsidRDefault="00F274BA" w:rsidP="00C66236">
      <w:pPr>
        <w:kinsoku/>
        <w:overflowPunct/>
        <w:autoSpaceDE w:val="0"/>
        <w:autoSpaceDN w:val="0"/>
        <w:adjustRightInd/>
        <w:snapToGrid/>
        <w:ind w:left="960" w:hangingChars="300" w:hanging="960"/>
        <w:jc w:val="both"/>
        <w:rPr>
          <w:rFonts w:ascii="標楷體" w:eastAsia="標楷體" w:hAnsi="標楷體" w:cs="標楷體"/>
          <w:kern w:val="0"/>
        </w:rPr>
      </w:pPr>
      <w:r w:rsidRPr="00C66236">
        <w:rPr>
          <w:rFonts w:ascii="標楷體" w:eastAsia="標楷體" w:hAnsi="標楷體" w:cs="標楷體" w:hint="eastAsia"/>
          <w:kern w:val="0"/>
        </w:rPr>
        <w:t>（二）本院時代力量黨團擬具「促進民間參與公共建設法部分條文修正草案」案。</w:t>
      </w:r>
    </w:p>
    <w:p w14:paraId="0CC1A2F7" w14:textId="77777777" w:rsidR="00F274BA" w:rsidRPr="00C66236" w:rsidRDefault="00F274BA" w:rsidP="00C66236">
      <w:pPr>
        <w:kinsoku/>
        <w:overflowPunct/>
        <w:autoSpaceDE w:val="0"/>
        <w:autoSpaceDN w:val="0"/>
        <w:adjustRightInd/>
        <w:snapToGrid/>
        <w:ind w:left="960" w:hangingChars="300" w:hanging="960"/>
        <w:jc w:val="both"/>
        <w:rPr>
          <w:rFonts w:ascii="標楷體" w:eastAsia="標楷體" w:hAnsi="標楷體" w:cs="標楷體"/>
          <w:kern w:val="0"/>
        </w:rPr>
      </w:pPr>
      <w:r w:rsidRPr="00C66236">
        <w:rPr>
          <w:rFonts w:ascii="標楷體" w:eastAsia="標楷體" w:hAnsi="標楷體" w:cs="標楷體" w:hint="eastAsia"/>
          <w:kern w:val="0"/>
        </w:rPr>
        <w:t>（三）本院委員李貴敏等25人擬具「促進民間參與公共建設法第三條、第二十九條及第三十七條之一條文修正草案」案。</w:t>
      </w:r>
    </w:p>
    <w:p w14:paraId="7B95A150" w14:textId="77777777" w:rsidR="00F274BA" w:rsidRPr="00C66236" w:rsidRDefault="00F274BA" w:rsidP="00C66236">
      <w:pPr>
        <w:kinsoku/>
        <w:overflowPunct/>
        <w:autoSpaceDE w:val="0"/>
        <w:autoSpaceDN w:val="0"/>
        <w:adjustRightInd/>
        <w:snapToGrid/>
        <w:ind w:left="960" w:hangingChars="300" w:hanging="960"/>
        <w:jc w:val="both"/>
        <w:rPr>
          <w:rFonts w:ascii="標楷體" w:eastAsia="標楷體" w:hAnsi="標楷體" w:cs="標楷體"/>
          <w:kern w:val="0"/>
        </w:rPr>
      </w:pPr>
      <w:r w:rsidRPr="00C66236">
        <w:rPr>
          <w:rFonts w:ascii="標楷體" w:eastAsia="標楷體" w:hAnsi="標楷體" w:cs="標楷體" w:hint="eastAsia"/>
          <w:kern w:val="0"/>
        </w:rPr>
        <w:t>（四）本院委員鍾佳濱等21人擬具「促進民間參與公共建設法第九條之一及第二十九條條文修正草案」案。</w:t>
      </w:r>
    </w:p>
    <w:p w14:paraId="365A741F" w14:textId="06868C14" w:rsidR="00F274BA" w:rsidRPr="00C66236" w:rsidRDefault="00F274BA" w:rsidP="00F274BA">
      <w:pPr>
        <w:kinsoku/>
        <w:overflowPunct/>
        <w:autoSpaceDE w:val="0"/>
        <w:autoSpaceDN w:val="0"/>
        <w:adjustRightInd/>
        <w:snapToGrid/>
        <w:ind w:left="640" w:hangingChars="200" w:hanging="640"/>
        <w:jc w:val="both"/>
        <w:rPr>
          <w:rFonts w:ascii="標楷體" w:eastAsia="標楷體" w:hAnsi="標楷體" w:cs="標楷體"/>
          <w:kern w:val="0"/>
        </w:rPr>
      </w:pPr>
      <w:r w:rsidRPr="00C66236">
        <w:rPr>
          <w:rFonts w:ascii="標楷體" w:eastAsia="標楷體" w:hAnsi="標楷體" w:cs="標楷體" w:hint="eastAsia"/>
          <w:kern w:val="0"/>
        </w:rPr>
        <w:t>二、審查「促進民間參與公共建設法」6案：</w:t>
      </w:r>
    </w:p>
    <w:p w14:paraId="47259F0E" w14:textId="77777777" w:rsidR="00F274BA" w:rsidRPr="00C66236" w:rsidRDefault="00F274BA" w:rsidP="00C66236">
      <w:pPr>
        <w:kinsoku/>
        <w:overflowPunct/>
        <w:autoSpaceDE w:val="0"/>
        <w:autoSpaceDN w:val="0"/>
        <w:adjustRightInd/>
        <w:snapToGrid/>
        <w:ind w:left="960" w:hangingChars="300" w:hanging="960"/>
        <w:jc w:val="both"/>
        <w:rPr>
          <w:rFonts w:ascii="標楷體" w:eastAsia="標楷體" w:hAnsi="標楷體" w:cs="標楷體"/>
          <w:kern w:val="0"/>
        </w:rPr>
      </w:pPr>
      <w:r w:rsidRPr="00C66236">
        <w:rPr>
          <w:rFonts w:ascii="標楷體" w:eastAsia="標楷體" w:hAnsi="標楷體" w:cs="標楷體" w:hint="eastAsia"/>
          <w:kern w:val="0"/>
        </w:rPr>
        <w:t>（一）行政院函請審議、本院民眾黨黨團、委員曾銘宗等</w:t>
      </w:r>
      <w:r w:rsidRPr="00C66236">
        <w:rPr>
          <w:rFonts w:ascii="標楷體" w:eastAsia="標楷體" w:hAnsi="標楷體" w:cs="標楷體"/>
          <w:kern w:val="0"/>
        </w:rPr>
        <w:t>16</w:t>
      </w:r>
      <w:r w:rsidRPr="00C66236">
        <w:rPr>
          <w:rFonts w:ascii="標楷體" w:eastAsia="標楷體" w:hAnsi="標楷體" w:cs="標楷體" w:hint="eastAsia"/>
          <w:kern w:val="0"/>
        </w:rPr>
        <w:t>人、委員楊瓊瓔等</w:t>
      </w:r>
      <w:r w:rsidRPr="00C66236">
        <w:rPr>
          <w:rFonts w:ascii="標楷體" w:eastAsia="標楷體" w:hAnsi="標楷體" w:cs="標楷體"/>
          <w:kern w:val="0"/>
        </w:rPr>
        <w:t>21</w:t>
      </w:r>
      <w:r w:rsidRPr="00C66236">
        <w:rPr>
          <w:rFonts w:ascii="標楷體" w:eastAsia="標楷體" w:hAnsi="標楷體" w:cs="標楷體" w:hint="eastAsia"/>
          <w:kern w:val="0"/>
        </w:rPr>
        <w:t>人、委員謝衣鳯等</w:t>
      </w:r>
      <w:r w:rsidRPr="00C66236">
        <w:rPr>
          <w:rFonts w:ascii="標楷體" w:eastAsia="標楷體" w:hAnsi="標楷體" w:cs="標楷體"/>
          <w:kern w:val="0"/>
        </w:rPr>
        <w:t>16</w:t>
      </w:r>
      <w:r w:rsidRPr="00C66236">
        <w:rPr>
          <w:rFonts w:ascii="標楷體" w:eastAsia="標楷體" w:hAnsi="標楷體" w:cs="標楷體" w:hint="eastAsia"/>
          <w:kern w:val="0"/>
        </w:rPr>
        <w:t>人分別擬具「促進民間參與公共建設法部分條文修正草案」等</w:t>
      </w:r>
      <w:r w:rsidRPr="00C66236">
        <w:rPr>
          <w:rFonts w:ascii="標楷體" w:eastAsia="標楷體" w:hAnsi="標楷體" w:cs="標楷體"/>
          <w:kern w:val="0"/>
        </w:rPr>
        <w:t>5</w:t>
      </w:r>
      <w:r w:rsidRPr="00C66236">
        <w:rPr>
          <w:rFonts w:ascii="標楷體" w:eastAsia="標楷體" w:hAnsi="標楷體" w:cs="標楷體" w:hint="eastAsia"/>
          <w:kern w:val="0"/>
        </w:rPr>
        <w:t>案。</w:t>
      </w:r>
    </w:p>
    <w:p w14:paraId="0953B51B" w14:textId="7DA264E2" w:rsidR="00F274BA" w:rsidRDefault="00F274BA" w:rsidP="00C66236">
      <w:pPr>
        <w:kinsoku/>
        <w:overflowPunct/>
        <w:autoSpaceDE w:val="0"/>
        <w:autoSpaceDN w:val="0"/>
        <w:adjustRightInd/>
        <w:snapToGrid/>
        <w:ind w:left="960" w:hangingChars="300" w:hanging="960"/>
        <w:jc w:val="both"/>
        <w:rPr>
          <w:rFonts w:ascii="標楷體" w:eastAsia="標楷體" w:hAnsi="標楷體" w:cs="標楷體"/>
          <w:kern w:val="0"/>
        </w:rPr>
      </w:pPr>
      <w:r w:rsidRPr="00C66236">
        <w:rPr>
          <w:rFonts w:ascii="標楷體" w:eastAsia="標楷體" w:hAnsi="標楷體" w:cs="標楷體" w:hint="eastAsia"/>
          <w:kern w:val="0"/>
        </w:rPr>
        <w:t>（二）本院委員陳亭妃等21人擬具「促進民間參與公共建設法部分條文修正草案」案。</w:t>
      </w:r>
    </w:p>
    <w:p w14:paraId="658286A5" w14:textId="5805E766" w:rsidR="00560C51" w:rsidRPr="00C66236" w:rsidRDefault="00560C51" w:rsidP="00560C51">
      <w:pPr>
        <w:kinsoku/>
        <w:overflowPunct/>
        <w:autoSpaceDE w:val="0"/>
        <w:autoSpaceDN w:val="0"/>
        <w:adjustRightInd/>
        <w:snapToGrid/>
        <w:ind w:left="320" w:hangingChars="100" w:hanging="320"/>
        <w:jc w:val="both"/>
        <w:rPr>
          <w:rFonts w:ascii="標楷體" w:eastAsia="標楷體" w:hAnsi="標楷體" w:cs="標楷體"/>
          <w:kern w:val="0"/>
        </w:rPr>
      </w:pPr>
      <w:r w:rsidRPr="00466D64">
        <w:rPr>
          <w:rFonts w:ascii="標楷體" w:eastAsia="標楷體" w:hAnsi="標楷體" w:hint="eastAsia"/>
        </w:rPr>
        <w:t>（</w:t>
      </w:r>
      <w:r>
        <w:rPr>
          <w:rFonts w:ascii="標楷體" w:eastAsia="標楷體" w:hAnsi="標楷體" w:hint="eastAsia"/>
        </w:rPr>
        <w:t>經本院</w:t>
      </w:r>
      <w:r w:rsidRPr="00D03ADA">
        <w:rPr>
          <w:rFonts w:ascii="標楷體" w:eastAsia="標楷體" w:hAnsi="標楷體" w:hint="eastAsia"/>
        </w:rPr>
        <w:t>民眾黨黨團</w:t>
      </w:r>
      <w:r>
        <w:rPr>
          <w:rFonts w:ascii="標楷體" w:eastAsia="標楷體" w:hAnsi="標楷體" w:hint="eastAsia"/>
        </w:rPr>
        <w:t>代表</w:t>
      </w:r>
      <w:r w:rsidRPr="00D03ADA">
        <w:rPr>
          <w:rFonts w:ascii="標楷體" w:eastAsia="標楷體" w:hAnsi="標楷體" w:hint="eastAsia"/>
        </w:rPr>
        <w:t>張其祿</w:t>
      </w:r>
      <w:r>
        <w:rPr>
          <w:rFonts w:ascii="標楷體" w:eastAsia="標楷體" w:hAnsi="標楷體" w:hint="eastAsia"/>
        </w:rPr>
        <w:t>委員</w:t>
      </w:r>
      <w:r w:rsidRPr="00D03ADA">
        <w:rPr>
          <w:rFonts w:ascii="標楷體" w:eastAsia="標楷體" w:hAnsi="標楷體" w:hint="eastAsia"/>
        </w:rPr>
        <w:t>、委員楊瓊瓔</w:t>
      </w:r>
      <w:r>
        <w:rPr>
          <w:rFonts w:ascii="標楷體" w:eastAsia="標楷體" w:hAnsi="標楷體" w:hint="eastAsia"/>
        </w:rPr>
        <w:t>、</w:t>
      </w:r>
      <w:r w:rsidRPr="00D03ADA">
        <w:rPr>
          <w:rFonts w:ascii="標楷體" w:eastAsia="標楷體" w:hAnsi="標楷體" w:hint="eastAsia"/>
        </w:rPr>
        <w:t>曾銘宗、</w:t>
      </w:r>
      <w:r>
        <w:rPr>
          <w:rFonts w:ascii="標楷體" w:eastAsia="標楷體" w:hAnsi="標楷體" w:hint="eastAsia"/>
        </w:rPr>
        <w:t>陳亭妃說明提案要旨，</w:t>
      </w:r>
      <w:r w:rsidRPr="00466D64">
        <w:rPr>
          <w:rFonts w:ascii="標楷體" w:eastAsia="標楷體" w:hAnsi="標楷體" w:hint="eastAsia"/>
          <w:color w:val="000000"/>
        </w:rPr>
        <w:t>財政部部長蘇建榮</w:t>
      </w:r>
      <w:r>
        <w:rPr>
          <w:rFonts w:ascii="標楷體" w:eastAsia="標楷體" w:hAnsi="標楷體" w:hint="eastAsia"/>
          <w:color w:val="000000"/>
        </w:rPr>
        <w:t>就行政院提案報告並回應黨團、委員提案後，</w:t>
      </w:r>
      <w:r w:rsidRPr="00466D64">
        <w:rPr>
          <w:rFonts w:ascii="標楷體" w:eastAsia="標楷體" w:hAnsi="標楷體" w:hint="eastAsia"/>
          <w:color w:val="000000"/>
        </w:rPr>
        <w:t>計有委員</w:t>
      </w:r>
      <w:r w:rsidRPr="001D73B4">
        <w:rPr>
          <w:rFonts w:ascii="標楷體" w:eastAsia="標楷體" w:hAnsi="標楷體" w:hint="eastAsia"/>
        </w:rPr>
        <w:t>林德福</w:t>
      </w:r>
      <w:r w:rsidRPr="00043815">
        <w:rPr>
          <w:rFonts w:ascii="標楷體" w:eastAsia="標楷體" w:hAnsi="標楷體" w:hint="eastAsia"/>
        </w:rPr>
        <w:t>、吳秉叡</w:t>
      </w:r>
      <w:r w:rsidRPr="00085222">
        <w:rPr>
          <w:rFonts w:ascii="標楷體" w:eastAsia="標楷體" w:hAnsi="標楷體" w:hint="eastAsia"/>
        </w:rPr>
        <w:t>、賴士葆、</w:t>
      </w:r>
      <w:r w:rsidRPr="00C13A60">
        <w:rPr>
          <w:rFonts w:ascii="標楷體" w:eastAsia="標楷體" w:hAnsi="標楷體" w:hint="eastAsia"/>
        </w:rPr>
        <w:t>沈發惠、李貴敏</w:t>
      </w:r>
      <w:r w:rsidRPr="000055F5">
        <w:rPr>
          <w:rFonts w:ascii="標楷體" w:eastAsia="標楷體" w:hAnsi="標楷體" w:hint="eastAsia"/>
        </w:rPr>
        <w:t>、郭國文</w:t>
      </w:r>
      <w:r w:rsidRPr="00506028">
        <w:rPr>
          <w:rFonts w:ascii="標楷體" w:eastAsia="標楷體" w:hAnsi="標楷體" w:hint="eastAsia"/>
        </w:rPr>
        <w:t>、林楚茵</w:t>
      </w:r>
      <w:r w:rsidRPr="000D3853">
        <w:rPr>
          <w:rFonts w:ascii="標楷體" w:eastAsia="標楷體" w:hAnsi="標楷體" w:hint="eastAsia"/>
        </w:rPr>
        <w:t>、鍾佳濱、張其祿</w:t>
      </w:r>
      <w:r w:rsidRPr="001A65CB">
        <w:rPr>
          <w:rFonts w:ascii="標楷體" w:eastAsia="標楷體" w:hAnsi="標楷體" w:hint="eastAsia"/>
        </w:rPr>
        <w:t>、高嘉瑜</w:t>
      </w:r>
      <w:r w:rsidRPr="000730E8">
        <w:rPr>
          <w:rFonts w:ascii="標楷體" w:eastAsia="標楷體" w:hAnsi="標楷體" w:hint="eastAsia"/>
        </w:rPr>
        <w:t>、羅明才</w:t>
      </w:r>
      <w:r w:rsidRPr="00475FA2">
        <w:rPr>
          <w:rFonts w:ascii="標楷體" w:eastAsia="標楷體" w:hAnsi="標楷體" w:hint="eastAsia"/>
        </w:rPr>
        <w:t>、楊瓊瓔</w:t>
      </w:r>
      <w:r w:rsidRPr="003F02D3">
        <w:rPr>
          <w:rFonts w:ascii="標楷體" w:eastAsia="標楷體" w:hAnsi="標楷體" w:hint="eastAsia"/>
        </w:rPr>
        <w:t>、江永昌</w:t>
      </w:r>
      <w:r w:rsidRPr="00746C79">
        <w:rPr>
          <w:rFonts w:ascii="標楷體" w:eastAsia="標楷體" w:hAnsi="標楷體" w:hint="eastAsia"/>
        </w:rPr>
        <w:t>、高虹安、曾銘宗</w:t>
      </w:r>
      <w:r w:rsidRPr="006A7A79">
        <w:rPr>
          <w:rFonts w:ascii="標楷體" w:eastAsia="標楷體" w:hAnsi="標楷體" w:hint="eastAsia"/>
        </w:rPr>
        <w:t>、陳椒華</w:t>
      </w:r>
      <w:r>
        <w:rPr>
          <w:rFonts w:ascii="標楷體" w:eastAsia="標楷體" w:hAnsi="標楷體" w:hint="eastAsia"/>
        </w:rPr>
        <w:t>、</w:t>
      </w:r>
      <w:r w:rsidRPr="00654D4B">
        <w:rPr>
          <w:rFonts w:ascii="標楷體" w:eastAsia="標楷體" w:hAnsi="標楷體" w:hint="eastAsia"/>
        </w:rPr>
        <w:t>費鴻泰</w:t>
      </w:r>
      <w:r w:rsidRPr="00671AFD">
        <w:rPr>
          <w:rFonts w:ascii="標楷體" w:eastAsia="標楷體" w:hAnsi="標楷體" w:hint="eastAsia"/>
        </w:rPr>
        <w:t>等</w:t>
      </w:r>
      <w:r>
        <w:rPr>
          <w:rFonts w:ascii="標楷體" w:eastAsia="標楷體" w:hAnsi="標楷體"/>
        </w:rPr>
        <w:t>17</w:t>
      </w:r>
      <w:r w:rsidRPr="00671AFD">
        <w:rPr>
          <w:rFonts w:ascii="標楷體" w:eastAsia="標楷體" w:hAnsi="標楷體" w:hint="eastAsia"/>
        </w:rPr>
        <w:t>人</w:t>
      </w:r>
      <w:r w:rsidRPr="00466D64">
        <w:rPr>
          <w:rFonts w:ascii="標楷體" w:eastAsia="標楷體" w:hAnsi="標楷體" w:hint="eastAsia"/>
          <w:color w:val="000000"/>
        </w:rPr>
        <w:t>提出質詢，均經財政部部長蘇建榮</w:t>
      </w:r>
      <w:r w:rsidR="00BC5A94">
        <w:rPr>
          <w:rFonts w:ascii="標楷體" w:eastAsia="標楷體" w:hAnsi="標楷體" w:hint="eastAsia"/>
          <w:color w:val="000000"/>
        </w:rPr>
        <w:t>、衛生福利部長期照顧</w:t>
      </w:r>
      <w:r w:rsidR="00F62D56">
        <w:rPr>
          <w:rFonts w:ascii="標楷體" w:eastAsia="標楷體" w:hAnsi="標楷體" w:hint="eastAsia"/>
          <w:color w:val="000000"/>
        </w:rPr>
        <w:t>司</w:t>
      </w:r>
      <w:r w:rsidR="00BC5A94">
        <w:rPr>
          <w:rFonts w:ascii="標楷體" w:eastAsia="標楷體" w:hAnsi="標楷體" w:hint="eastAsia"/>
          <w:color w:val="000000"/>
        </w:rPr>
        <w:t>技正蕭玉梅及</w:t>
      </w:r>
      <w:r w:rsidRPr="00671AFD">
        <w:rPr>
          <w:rFonts w:ascii="標楷體" w:eastAsia="標楷體" w:hAnsi="標楷體" w:hint="eastAsia"/>
        </w:rPr>
        <w:t>相關人員予以答復。</w:t>
      </w:r>
      <w:r w:rsidRPr="00466D64">
        <w:rPr>
          <w:rFonts w:ascii="標楷體" w:eastAsia="標楷體" w:hAnsi="標楷體" w:hint="eastAsia"/>
          <w:color w:val="000000"/>
        </w:rPr>
        <w:t>）</w:t>
      </w:r>
    </w:p>
    <w:p w14:paraId="3E35C3C7" w14:textId="63D9F4FC" w:rsidR="004827CE" w:rsidRPr="00466D64" w:rsidRDefault="00F274BA" w:rsidP="00BC5A94">
      <w:pPr>
        <w:kinsoku/>
        <w:overflowPunct/>
        <w:autoSpaceDE w:val="0"/>
        <w:autoSpaceDN w:val="0"/>
        <w:adjustRightInd/>
        <w:snapToGrid/>
        <w:ind w:left="474" w:hangingChars="148" w:hanging="474"/>
        <w:jc w:val="both"/>
        <w:rPr>
          <w:rFonts w:ascii="標楷體" w:eastAsia="標楷體" w:hAnsi="標楷體"/>
          <w:color w:val="000000"/>
        </w:rPr>
      </w:pPr>
      <w:r w:rsidRPr="00C66236">
        <w:rPr>
          <w:rFonts w:ascii="標楷體" w:eastAsia="標楷體" w:hAnsi="標楷體" w:cs="標楷體" w:hint="eastAsia"/>
          <w:kern w:val="0"/>
        </w:rPr>
        <w:t>三、繼續審查中華民國111年度中央政府總預算案附屬單位預算營業部分關於中央銀行（含中央造幣廠、中央印製廠）。</w:t>
      </w:r>
    </w:p>
    <w:p w14:paraId="03C365D5" w14:textId="77777777" w:rsidR="004827CE" w:rsidRDefault="004827CE" w:rsidP="004827CE">
      <w:pPr>
        <w:spacing w:beforeLines="50" w:before="180"/>
        <w:jc w:val="both"/>
        <w:outlineLvl w:val="0"/>
        <w:rPr>
          <w:rFonts w:ascii="標楷體" w:eastAsia="標楷體" w:hAnsi="標楷體"/>
          <w:b/>
        </w:rPr>
      </w:pPr>
      <w:r w:rsidRPr="00466D64">
        <w:rPr>
          <w:rFonts w:ascii="標楷體" w:eastAsia="標楷體" w:hAnsi="標楷體" w:hint="eastAsia"/>
          <w:b/>
        </w:rPr>
        <w:t>決議：</w:t>
      </w:r>
    </w:p>
    <w:p w14:paraId="54C41CFD" w14:textId="09505E8B" w:rsidR="00560C51" w:rsidRPr="00560C51" w:rsidRDefault="00560C51" w:rsidP="00560C51">
      <w:pPr>
        <w:tabs>
          <w:tab w:val="left" w:pos="1260"/>
        </w:tabs>
        <w:autoSpaceDE w:val="0"/>
        <w:autoSpaceDN w:val="0"/>
        <w:jc w:val="both"/>
        <w:rPr>
          <w:rFonts w:hAnsi="標楷體"/>
        </w:rPr>
      </w:pPr>
      <w:r>
        <w:rPr>
          <w:rFonts w:hAnsi="標楷體" w:hint="eastAsia"/>
        </w:rPr>
        <w:lastRenderedPageBreak/>
        <w:t>一、</w:t>
      </w:r>
      <w:r w:rsidRPr="00560C51">
        <w:rPr>
          <w:rFonts w:hAnsi="標楷體" w:hint="eastAsia"/>
        </w:rPr>
        <w:t>審查「促進民間參與公共建設法」</w:t>
      </w:r>
      <w:r>
        <w:rPr>
          <w:rFonts w:hAnsi="標楷體" w:hint="eastAsia"/>
        </w:rPr>
        <w:t>11</w:t>
      </w:r>
      <w:r w:rsidRPr="00560C51">
        <w:rPr>
          <w:rFonts w:hAnsi="標楷體" w:hint="eastAsia"/>
        </w:rPr>
        <w:t>案：</w:t>
      </w:r>
    </w:p>
    <w:p w14:paraId="0299099A" w14:textId="77777777" w:rsidR="00560C51" w:rsidRPr="00560C51" w:rsidRDefault="00560C51" w:rsidP="00560C51">
      <w:pPr>
        <w:tabs>
          <w:tab w:val="left" w:pos="1260"/>
        </w:tabs>
        <w:autoSpaceDE w:val="0"/>
        <w:autoSpaceDN w:val="0"/>
        <w:ind w:leftChars="100" w:left="960" w:hangingChars="200" w:hanging="640"/>
        <w:jc w:val="both"/>
        <w:rPr>
          <w:rFonts w:hAnsi="標楷體"/>
        </w:rPr>
      </w:pPr>
      <w:r w:rsidRPr="00560C51">
        <w:rPr>
          <w:rFonts w:hAnsi="標楷體" w:hint="eastAsia"/>
        </w:rPr>
        <w:t>(一)說明及詢答完畢。</w:t>
      </w:r>
    </w:p>
    <w:p w14:paraId="44121DCE" w14:textId="77777777" w:rsidR="00560C51" w:rsidRPr="00560C51" w:rsidRDefault="00560C51" w:rsidP="00560C51">
      <w:pPr>
        <w:tabs>
          <w:tab w:val="left" w:pos="1260"/>
        </w:tabs>
        <w:autoSpaceDE w:val="0"/>
        <w:autoSpaceDN w:val="0"/>
        <w:ind w:leftChars="100" w:left="960" w:hangingChars="200" w:hanging="640"/>
        <w:jc w:val="both"/>
        <w:rPr>
          <w:rFonts w:hAnsi="標楷體"/>
        </w:rPr>
      </w:pPr>
      <w:r w:rsidRPr="00560C51">
        <w:rPr>
          <w:rFonts w:hAnsi="標楷體" w:hint="eastAsia"/>
        </w:rPr>
        <w:t>(二)委員質詢未及答復或請補充資訊，請相關部會於一週內以書面答復；委員另要求期限者，從其所定。</w:t>
      </w:r>
    </w:p>
    <w:p w14:paraId="060E3EE9" w14:textId="23187F99" w:rsidR="00560C51" w:rsidRPr="00560C51" w:rsidRDefault="00560C51" w:rsidP="00560C51">
      <w:pPr>
        <w:tabs>
          <w:tab w:val="left" w:pos="1260"/>
        </w:tabs>
        <w:autoSpaceDE w:val="0"/>
        <w:autoSpaceDN w:val="0"/>
        <w:ind w:leftChars="100" w:left="960" w:hangingChars="200" w:hanging="640"/>
        <w:jc w:val="both"/>
        <w:rPr>
          <w:rFonts w:hAnsi="標楷體"/>
        </w:rPr>
      </w:pPr>
      <w:r w:rsidRPr="00560C51">
        <w:rPr>
          <w:rFonts w:hAnsi="標楷體" w:hint="eastAsia"/>
        </w:rPr>
        <w:t>(三)委員</w:t>
      </w:r>
      <w:r w:rsidR="00BC5A94" w:rsidRPr="00560C51">
        <w:rPr>
          <w:rFonts w:hAnsi="標楷體" w:hint="eastAsia"/>
        </w:rPr>
        <w:t>余天、</w:t>
      </w:r>
      <w:r w:rsidRPr="00560C51">
        <w:rPr>
          <w:rFonts w:hAnsi="標楷體" w:hint="eastAsia"/>
        </w:rPr>
        <w:t>陳明文、林淑芬所提書面質詢，列入紀錄，刊登公報，並請相關部會以書面答復。</w:t>
      </w:r>
    </w:p>
    <w:p w14:paraId="6B90174E" w14:textId="77777777" w:rsidR="00560C51" w:rsidRPr="00560C51" w:rsidRDefault="00560C51" w:rsidP="00560C51">
      <w:pPr>
        <w:tabs>
          <w:tab w:val="left" w:pos="1260"/>
        </w:tabs>
        <w:autoSpaceDE w:val="0"/>
        <w:autoSpaceDN w:val="0"/>
        <w:ind w:leftChars="100" w:left="960" w:hangingChars="200" w:hanging="640"/>
        <w:jc w:val="both"/>
        <w:rPr>
          <w:rFonts w:hAnsi="標楷體"/>
        </w:rPr>
      </w:pPr>
      <w:r w:rsidRPr="00560C51">
        <w:rPr>
          <w:rFonts w:hAnsi="標楷體" w:hint="eastAsia"/>
        </w:rPr>
        <w:t>(四)促進民間參與公共建設法修正草案11案：</w:t>
      </w:r>
      <w:r w:rsidRPr="00FE57E9">
        <w:rPr>
          <w:rFonts w:hAnsi="標楷體" w:hint="eastAsia"/>
          <w:b/>
        </w:rPr>
        <w:t>另擇期繼續審查</w:t>
      </w:r>
      <w:r w:rsidRPr="00560C51">
        <w:rPr>
          <w:rFonts w:hAnsi="標楷體" w:hint="eastAsia"/>
        </w:rPr>
        <w:t>。</w:t>
      </w:r>
    </w:p>
    <w:p w14:paraId="5303795F" w14:textId="78BB2ECA" w:rsidR="000F169F" w:rsidRPr="004130DD" w:rsidRDefault="00560C51" w:rsidP="00560C51">
      <w:pPr>
        <w:ind w:left="640" w:hangingChars="200" w:hanging="640"/>
        <w:jc w:val="both"/>
        <w:outlineLvl w:val="0"/>
        <w:rPr>
          <w:rFonts w:ascii="標楷體" w:eastAsia="標楷體" w:hAnsi="標楷體"/>
        </w:rPr>
      </w:pPr>
      <w:r w:rsidRPr="004130DD">
        <w:rPr>
          <w:rFonts w:ascii="標楷體" w:eastAsia="標楷體" w:hAnsi="標楷體" w:hint="eastAsia"/>
        </w:rPr>
        <w:t>二</w:t>
      </w:r>
      <w:r w:rsidR="000F169F" w:rsidRPr="004130DD">
        <w:rPr>
          <w:rFonts w:ascii="標楷體" w:eastAsia="標楷體" w:hAnsi="標楷體" w:hint="eastAsia"/>
        </w:rPr>
        <w:t>、中央銀行（含中央造幣廠、中央印製廠）</w:t>
      </w:r>
      <w:r w:rsidRPr="004130DD">
        <w:rPr>
          <w:rFonts w:ascii="標楷體" w:eastAsia="標楷體" w:hAnsi="標楷體" w:hint="eastAsia"/>
        </w:rPr>
        <w:t>審查結果：</w:t>
      </w:r>
    </w:p>
    <w:p w14:paraId="67063F1A" w14:textId="77777777" w:rsidR="005623BD" w:rsidRPr="004130DD" w:rsidRDefault="005623BD" w:rsidP="005623BD">
      <w:pPr>
        <w:autoSpaceDE w:val="0"/>
        <w:autoSpaceDN w:val="0"/>
        <w:ind w:leftChars="100" w:left="960" w:hangingChars="200" w:hanging="640"/>
        <w:jc w:val="both"/>
        <w:rPr>
          <w:rFonts w:ascii="標楷體" w:eastAsia="標楷體" w:hAnsi="標楷體" w:cs="華康細明體"/>
          <w:kern w:val="0"/>
        </w:rPr>
      </w:pPr>
      <w:r w:rsidRPr="004130DD">
        <w:rPr>
          <w:rFonts w:ascii="標楷體" w:eastAsia="標楷體" w:hAnsi="標楷體" w:cs="華康細明體" w:hint="eastAsia"/>
          <w:kern w:val="0"/>
        </w:rPr>
        <w:t>(一)業務計畫：應依據營業收支、金融保險成本、轉投資、重大之建設事業及資金運用等項之審查結果，隨同調整。</w:t>
      </w:r>
    </w:p>
    <w:p w14:paraId="75AFB8FC" w14:textId="2E75742C" w:rsidR="005623BD" w:rsidRPr="004130DD" w:rsidRDefault="005623BD" w:rsidP="005623BD">
      <w:pPr>
        <w:autoSpaceDE w:val="0"/>
        <w:autoSpaceDN w:val="0"/>
        <w:ind w:leftChars="100" w:left="960" w:hangingChars="200" w:hanging="640"/>
        <w:jc w:val="both"/>
        <w:rPr>
          <w:rFonts w:ascii="標楷體" w:eastAsia="標楷體" w:hAnsi="標楷體" w:cs="華康細明體"/>
          <w:kern w:val="0"/>
        </w:rPr>
      </w:pPr>
      <w:r w:rsidRPr="004130DD">
        <w:rPr>
          <w:rFonts w:ascii="標楷體" w:eastAsia="標楷體" w:hAnsi="標楷體" w:cs="華康細明體" w:hint="eastAsia"/>
          <w:kern w:val="0"/>
        </w:rPr>
        <w:t>(二)營業收支：</w:t>
      </w:r>
    </w:p>
    <w:p w14:paraId="71589501" w14:textId="77777777" w:rsidR="005623BD" w:rsidRPr="004130DD" w:rsidRDefault="005623BD" w:rsidP="005623BD">
      <w:pPr>
        <w:autoSpaceDE w:val="0"/>
        <w:autoSpaceDN w:val="0"/>
        <w:ind w:leftChars="300" w:left="128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1.營業總收入：2,939億4,034萬6千元，照列。</w:t>
      </w:r>
    </w:p>
    <w:p w14:paraId="6E593222" w14:textId="77777777" w:rsidR="005623BD" w:rsidRPr="004130DD" w:rsidRDefault="005623BD" w:rsidP="005623BD">
      <w:pPr>
        <w:autoSpaceDE w:val="0"/>
        <w:autoSpaceDN w:val="0"/>
        <w:ind w:leftChars="300" w:left="128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2.營業總支出(不含所得稅費用)：原列1,405億2,264萬6千元，減列：</w:t>
      </w:r>
    </w:p>
    <w:p w14:paraId="6EE53C68" w14:textId="77777777" w:rsidR="005623BD" w:rsidRPr="004130DD" w:rsidRDefault="005623BD" w:rsidP="005623BD">
      <w:pPr>
        <w:autoSpaceDE w:val="0"/>
        <w:autoSpaceDN w:val="0"/>
        <w:ind w:leftChars="350" w:left="1120"/>
        <w:jc w:val="both"/>
        <w:rPr>
          <w:rFonts w:ascii="標楷體" w:eastAsia="標楷體" w:hAnsi="標楷體" w:cs="華康細明體"/>
          <w:kern w:val="0"/>
        </w:rPr>
      </w:pPr>
      <w:r w:rsidRPr="004130DD">
        <w:rPr>
          <w:rFonts w:ascii="標楷體" w:eastAsia="標楷體" w:hAnsi="標楷體" w:cs="華康細明體" w:hint="eastAsia"/>
          <w:kern w:val="0"/>
        </w:rPr>
        <w:t>(1)「營業成本」1,192萬元：</w:t>
      </w:r>
    </w:p>
    <w:p w14:paraId="6B4B5DEF" w14:textId="51EB7E8F" w:rsidR="005623BD" w:rsidRPr="004130DD" w:rsidRDefault="004130DD" w:rsidP="005623BD">
      <w:pPr>
        <w:autoSpaceDE w:val="0"/>
        <w:autoSpaceDN w:val="0"/>
        <w:ind w:leftChars="450" w:left="1760" w:hangingChars="100" w:hanging="320"/>
        <w:jc w:val="both"/>
        <w:rPr>
          <w:rFonts w:ascii="標楷體" w:eastAsia="標楷體" w:hAnsi="標楷體" w:cs="華康細明體"/>
          <w:kern w:val="0"/>
        </w:rPr>
      </w:pPr>
      <w:r>
        <w:rPr>
          <w:rFonts w:ascii="標楷體" w:eastAsia="標楷體" w:hAnsi="標楷體"/>
        </w:rPr>
        <w:fldChar w:fldCharType="begin"/>
      </w:r>
      <w:r>
        <w:rPr>
          <w:rFonts w:ascii="標楷體" w:eastAsia="標楷體" w:hAnsi="標楷體"/>
        </w:rPr>
        <w:instrText xml:space="preserve"> </w:instrText>
      </w:r>
      <w:r>
        <w:rPr>
          <w:rFonts w:ascii="標楷體" w:eastAsia="標楷體" w:hAnsi="標楷體" w:hint="eastAsia"/>
        </w:rPr>
        <w:instrText>eq \o\ac(○,</w:instrText>
      </w:r>
      <w:r w:rsidRPr="004130DD">
        <w:rPr>
          <w:rFonts w:ascii="標楷體" w:eastAsia="標楷體" w:hAnsi="標楷體" w:hint="eastAsia"/>
          <w:position w:val="4"/>
          <w:sz w:val="22"/>
        </w:rPr>
        <w:instrText>1</w:instrText>
      </w:r>
      <w:r>
        <w:rPr>
          <w:rFonts w:ascii="標楷體" w:eastAsia="標楷體" w:hAnsi="標楷體" w:hint="eastAsia"/>
        </w:rPr>
        <w:instrText>)</w:instrText>
      </w:r>
      <w:r>
        <w:rPr>
          <w:rFonts w:ascii="標楷體" w:eastAsia="標楷體" w:hAnsi="標楷體"/>
        </w:rPr>
        <w:fldChar w:fldCharType="end"/>
      </w:r>
      <w:r w:rsidR="005623BD" w:rsidRPr="004130DD">
        <w:rPr>
          <w:rFonts w:ascii="標楷體" w:eastAsia="標楷體" w:hAnsi="標楷體" w:cs="華康細明體" w:hint="eastAsia"/>
          <w:kern w:val="0"/>
        </w:rPr>
        <w:t>中央銀行「金融保險成本」項下：</w:t>
      </w:r>
    </w:p>
    <w:p w14:paraId="455F9947" w14:textId="77777777" w:rsidR="005623BD" w:rsidRPr="004130DD" w:rsidRDefault="005623BD" w:rsidP="00187217">
      <w:pPr>
        <w:autoSpaceDE w:val="0"/>
        <w:autoSpaceDN w:val="0"/>
        <w:ind w:leftChars="500" w:left="192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「利息費用」625萬元（配合111年度中央政府總預算審議結果增列行政院第1目「營業基金盈餘繳庫」500萬元，隨同減列）。</w:t>
      </w:r>
    </w:p>
    <w:p w14:paraId="7F881194" w14:textId="77777777" w:rsidR="005623BD" w:rsidRPr="004130DD" w:rsidRDefault="005623BD" w:rsidP="00187217">
      <w:pPr>
        <w:autoSpaceDE w:val="0"/>
        <w:autoSpaceDN w:val="0"/>
        <w:ind w:leftChars="500" w:left="192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「發行硬幣費用」103萬元(含「服務費用」之「媒體政策及業務宣導費」3萬元)。</w:t>
      </w:r>
    </w:p>
    <w:p w14:paraId="22176456" w14:textId="77777777" w:rsidR="005623BD" w:rsidRPr="004130DD" w:rsidRDefault="005623BD" w:rsidP="00187217">
      <w:pPr>
        <w:autoSpaceDE w:val="0"/>
        <w:autoSpaceDN w:val="0"/>
        <w:ind w:leftChars="500" w:left="192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「發行鈔券費用」104萬元(含「服務費用」之「媒體政策及業務宣導費」4萬元)。</w:t>
      </w:r>
    </w:p>
    <w:p w14:paraId="7670FD99" w14:textId="77777777" w:rsidR="005623BD" w:rsidRPr="004130DD" w:rsidRDefault="005623BD" w:rsidP="00187217">
      <w:pPr>
        <w:autoSpaceDE w:val="0"/>
        <w:autoSpaceDN w:val="0"/>
        <w:ind w:leftChars="500" w:left="192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「現金運送費」10萬元。</w:t>
      </w:r>
    </w:p>
    <w:p w14:paraId="67BDC5EC" w14:textId="77777777" w:rsidR="005623BD" w:rsidRPr="004130DD" w:rsidRDefault="005623BD" w:rsidP="00187217">
      <w:pPr>
        <w:autoSpaceDE w:val="0"/>
        <w:autoSpaceDN w:val="0"/>
        <w:ind w:leftChars="500" w:left="192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「服務費用」之「媒體政策及業務宣導費」10萬元。</w:t>
      </w:r>
    </w:p>
    <w:p w14:paraId="765EEBF0" w14:textId="77777777" w:rsidR="005623BD" w:rsidRPr="004130DD" w:rsidRDefault="005623BD" w:rsidP="00187217">
      <w:pPr>
        <w:autoSpaceDE w:val="0"/>
        <w:autoSpaceDN w:val="0"/>
        <w:ind w:leftChars="500" w:left="192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「折舊及攤銷」20萬元。</w:t>
      </w:r>
    </w:p>
    <w:p w14:paraId="328E4409" w14:textId="587650A0" w:rsidR="005623BD" w:rsidRPr="004130DD" w:rsidRDefault="004130DD" w:rsidP="005623BD">
      <w:pPr>
        <w:autoSpaceDE w:val="0"/>
        <w:autoSpaceDN w:val="0"/>
        <w:ind w:leftChars="450" w:left="1760" w:hangingChars="100" w:hanging="320"/>
        <w:jc w:val="both"/>
        <w:rPr>
          <w:rFonts w:ascii="標楷體" w:eastAsia="標楷體" w:hAnsi="標楷體" w:cs="華康細明體"/>
          <w:kern w:val="0"/>
        </w:rPr>
      </w:pPr>
      <w:r>
        <w:rPr>
          <w:rFonts w:ascii="標楷體" w:eastAsia="標楷體" w:hAnsi="標楷體"/>
        </w:rPr>
        <w:fldChar w:fldCharType="begin"/>
      </w:r>
      <w:r>
        <w:rPr>
          <w:rFonts w:ascii="標楷體" w:eastAsia="標楷體" w:hAnsi="標楷體"/>
        </w:rPr>
        <w:instrText xml:space="preserve"> </w:instrText>
      </w:r>
      <w:r>
        <w:rPr>
          <w:rFonts w:ascii="標楷體" w:eastAsia="標楷體" w:hAnsi="標楷體" w:hint="eastAsia"/>
        </w:rPr>
        <w:instrText>eq \o\ac(○,</w:instrText>
      </w:r>
      <w:r w:rsidRPr="004130DD">
        <w:rPr>
          <w:rFonts w:ascii="標楷體" w:eastAsia="標楷體" w:hAnsi="標楷體" w:hint="eastAsia"/>
          <w:position w:val="4"/>
          <w:sz w:val="22"/>
        </w:rPr>
        <w:instrText>2</w:instrText>
      </w:r>
      <w:r>
        <w:rPr>
          <w:rFonts w:ascii="標楷體" w:eastAsia="標楷體" w:hAnsi="標楷體" w:hint="eastAsia"/>
        </w:rPr>
        <w:instrText>)</w:instrText>
      </w:r>
      <w:r>
        <w:rPr>
          <w:rFonts w:ascii="標楷體" w:eastAsia="標楷體" w:hAnsi="標楷體"/>
        </w:rPr>
        <w:fldChar w:fldCharType="end"/>
      </w:r>
      <w:r w:rsidR="005623BD" w:rsidRPr="004130DD">
        <w:rPr>
          <w:rFonts w:ascii="標楷體" w:eastAsia="標楷體" w:hAnsi="標楷體" w:cs="華康細明體" w:hint="eastAsia"/>
          <w:kern w:val="0"/>
        </w:rPr>
        <w:t>中央造幣廠：</w:t>
      </w:r>
    </w:p>
    <w:p w14:paraId="16D4CBD6" w14:textId="318F828C" w:rsidR="005623BD" w:rsidRPr="004130DD" w:rsidRDefault="005623BD" w:rsidP="00187217">
      <w:pPr>
        <w:autoSpaceDE w:val="0"/>
        <w:autoSpaceDN w:val="0"/>
        <w:ind w:leftChars="500" w:left="192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「銷</w:t>
      </w:r>
      <w:r w:rsidR="00BC5A94">
        <w:rPr>
          <w:rFonts w:ascii="標楷體" w:eastAsia="標楷體" w:hAnsi="標楷體" w:cs="華康細明體" w:hint="eastAsia"/>
          <w:kern w:val="0"/>
        </w:rPr>
        <w:t>售</w:t>
      </w:r>
      <w:r w:rsidRPr="004130DD">
        <w:rPr>
          <w:rFonts w:ascii="標楷體" w:eastAsia="標楷體" w:hAnsi="標楷體" w:cs="華康細明體" w:hint="eastAsia"/>
          <w:kern w:val="0"/>
        </w:rPr>
        <w:t>成本」項下「銷貨成本」中「製造費用」之「服務</w:t>
      </w:r>
      <w:r w:rsidRPr="004130DD">
        <w:rPr>
          <w:rFonts w:ascii="標楷體" w:eastAsia="標楷體" w:hAnsi="標楷體" w:cs="華康細明體" w:hint="eastAsia"/>
          <w:kern w:val="0"/>
        </w:rPr>
        <w:lastRenderedPageBreak/>
        <w:t>費用」30萬元。</w:t>
      </w:r>
    </w:p>
    <w:p w14:paraId="7C9C9DEA" w14:textId="300803D1" w:rsidR="005623BD" w:rsidRPr="004130DD" w:rsidRDefault="004130DD" w:rsidP="005623BD">
      <w:pPr>
        <w:autoSpaceDE w:val="0"/>
        <w:autoSpaceDN w:val="0"/>
        <w:ind w:leftChars="450" w:left="1760" w:hangingChars="100" w:hanging="320"/>
        <w:jc w:val="both"/>
        <w:rPr>
          <w:rFonts w:ascii="標楷體" w:eastAsia="標楷體" w:hAnsi="標楷體" w:cs="華康細明體"/>
          <w:kern w:val="0"/>
        </w:rPr>
      </w:pPr>
      <w:r>
        <w:rPr>
          <w:rFonts w:ascii="標楷體" w:eastAsia="標楷體" w:hAnsi="標楷體"/>
        </w:rPr>
        <w:fldChar w:fldCharType="begin"/>
      </w:r>
      <w:r>
        <w:rPr>
          <w:rFonts w:ascii="標楷體" w:eastAsia="標楷體" w:hAnsi="標楷體"/>
        </w:rPr>
        <w:instrText xml:space="preserve"> </w:instrText>
      </w:r>
      <w:r>
        <w:rPr>
          <w:rFonts w:ascii="標楷體" w:eastAsia="標楷體" w:hAnsi="標楷體" w:hint="eastAsia"/>
        </w:rPr>
        <w:instrText>eq \o\ac(○,</w:instrText>
      </w:r>
      <w:r w:rsidRPr="004130DD">
        <w:rPr>
          <w:rFonts w:ascii="標楷體" w:eastAsia="標楷體" w:hAnsi="標楷體" w:hint="eastAsia"/>
          <w:position w:val="4"/>
          <w:sz w:val="22"/>
        </w:rPr>
        <w:instrText>3</w:instrText>
      </w:r>
      <w:r>
        <w:rPr>
          <w:rFonts w:ascii="標楷體" w:eastAsia="標楷體" w:hAnsi="標楷體" w:hint="eastAsia"/>
        </w:rPr>
        <w:instrText>)</w:instrText>
      </w:r>
      <w:r>
        <w:rPr>
          <w:rFonts w:ascii="標楷體" w:eastAsia="標楷體" w:hAnsi="標楷體"/>
        </w:rPr>
        <w:fldChar w:fldCharType="end"/>
      </w:r>
      <w:r w:rsidR="005623BD" w:rsidRPr="004130DD">
        <w:rPr>
          <w:rFonts w:ascii="標楷體" w:eastAsia="標楷體" w:hAnsi="標楷體" w:cs="華康細明體" w:hint="eastAsia"/>
          <w:kern w:val="0"/>
        </w:rPr>
        <w:t>中央印製廠：</w:t>
      </w:r>
    </w:p>
    <w:p w14:paraId="1F631DA9" w14:textId="77777777" w:rsidR="005623BD" w:rsidRPr="004130DD" w:rsidRDefault="005623BD" w:rsidP="00187217">
      <w:pPr>
        <w:autoSpaceDE w:val="0"/>
        <w:autoSpaceDN w:val="0"/>
        <w:ind w:leftChars="500" w:left="192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「銷售成本」項下「銷貨成本」中「主要產品」20萬元、「直接材料」之「材料及用品費」240萬元（含「使用材料費」40萬元）。</w:t>
      </w:r>
    </w:p>
    <w:p w14:paraId="3875956A" w14:textId="77777777" w:rsidR="005623BD" w:rsidRPr="004130DD" w:rsidRDefault="005623BD" w:rsidP="00187217">
      <w:pPr>
        <w:autoSpaceDE w:val="0"/>
        <w:autoSpaceDN w:val="0"/>
        <w:ind w:leftChars="500" w:left="192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「勞務成本」項下「加工費用」之「折舊及攤銷」30萬元。</w:t>
      </w:r>
    </w:p>
    <w:p w14:paraId="11F1E61E" w14:textId="2859FFCC" w:rsidR="005623BD" w:rsidRPr="004130DD" w:rsidRDefault="005623BD" w:rsidP="0057238B">
      <w:pPr>
        <w:autoSpaceDE w:val="0"/>
        <w:autoSpaceDN w:val="0"/>
        <w:ind w:leftChars="350" w:left="1600" w:hangingChars="150" w:hanging="480"/>
        <w:jc w:val="both"/>
        <w:rPr>
          <w:rFonts w:ascii="標楷體" w:eastAsia="標楷體" w:hAnsi="標楷體" w:cs="華康細明體"/>
          <w:kern w:val="0"/>
        </w:rPr>
      </w:pPr>
      <w:r w:rsidRPr="004130DD">
        <w:rPr>
          <w:rFonts w:ascii="標楷體" w:eastAsia="標楷體" w:hAnsi="標楷體" w:cs="華康細明體" w:hint="eastAsia"/>
          <w:kern w:val="0"/>
        </w:rPr>
        <w:t>(2)「營業費用」679萬元(含</w:t>
      </w:r>
      <w:r w:rsidR="0057238B" w:rsidRPr="002F3135">
        <w:rPr>
          <w:rFonts w:ascii="標楷體" w:eastAsia="標楷體" w:hAnsi="標楷體" w:cs="華康細明體" w:hint="eastAsia"/>
          <w:kern w:val="0"/>
        </w:rPr>
        <w:t>「</w:t>
      </w:r>
      <w:r w:rsidRPr="004130DD">
        <w:rPr>
          <w:rFonts w:ascii="標楷體" w:eastAsia="標楷體" w:hAnsi="標楷體" w:cs="華康細明體" w:hint="eastAsia"/>
          <w:kern w:val="0"/>
        </w:rPr>
        <w:t>服務費用」之「保險費」5萬元)：</w:t>
      </w:r>
    </w:p>
    <w:p w14:paraId="0815C1E0" w14:textId="5A130201" w:rsidR="005623BD" w:rsidRPr="004130DD" w:rsidRDefault="004130DD" w:rsidP="005623BD">
      <w:pPr>
        <w:autoSpaceDE w:val="0"/>
        <w:autoSpaceDN w:val="0"/>
        <w:ind w:leftChars="450" w:left="1760" w:hangingChars="100" w:hanging="320"/>
        <w:jc w:val="both"/>
        <w:rPr>
          <w:rFonts w:ascii="標楷體" w:eastAsia="標楷體" w:hAnsi="標楷體" w:cs="華康細明體"/>
          <w:kern w:val="0"/>
        </w:rPr>
      </w:pPr>
      <w:r>
        <w:rPr>
          <w:rFonts w:ascii="標楷體" w:eastAsia="標楷體" w:hAnsi="標楷體"/>
        </w:rPr>
        <w:fldChar w:fldCharType="begin"/>
      </w:r>
      <w:r>
        <w:rPr>
          <w:rFonts w:ascii="標楷體" w:eastAsia="標楷體" w:hAnsi="標楷體"/>
        </w:rPr>
        <w:instrText xml:space="preserve"> </w:instrText>
      </w:r>
      <w:r>
        <w:rPr>
          <w:rFonts w:ascii="標楷體" w:eastAsia="標楷體" w:hAnsi="標楷體" w:hint="eastAsia"/>
        </w:rPr>
        <w:instrText>eq \o\ac(○,</w:instrText>
      </w:r>
      <w:r w:rsidRPr="004130DD">
        <w:rPr>
          <w:rFonts w:ascii="標楷體" w:eastAsia="標楷體" w:hAnsi="標楷體" w:hint="eastAsia"/>
          <w:position w:val="4"/>
          <w:sz w:val="22"/>
        </w:rPr>
        <w:instrText>1</w:instrText>
      </w:r>
      <w:r>
        <w:rPr>
          <w:rFonts w:ascii="標楷體" w:eastAsia="標楷體" w:hAnsi="標楷體" w:hint="eastAsia"/>
        </w:rPr>
        <w:instrText>)</w:instrText>
      </w:r>
      <w:r>
        <w:rPr>
          <w:rFonts w:ascii="標楷體" w:eastAsia="標楷體" w:hAnsi="標楷體"/>
        </w:rPr>
        <w:fldChar w:fldCharType="end"/>
      </w:r>
      <w:r w:rsidR="005623BD" w:rsidRPr="004130DD">
        <w:rPr>
          <w:rFonts w:ascii="標楷體" w:eastAsia="標楷體" w:hAnsi="標楷體" w:cs="華康細明體" w:hint="eastAsia"/>
          <w:kern w:val="0"/>
        </w:rPr>
        <w:t>中央銀行547萬元：</w:t>
      </w:r>
    </w:p>
    <w:p w14:paraId="45BB71F6" w14:textId="77777777" w:rsidR="005623BD" w:rsidRPr="004130DD" w:rsidRDefault="005623BD" w:rsidP="00187217">
      <w:pPr>
        <w:autoSpaceDE w:val="0"/>
        <w:autoSpaceDN w:val="0"/>
        <w:ind w:leftChars="500" w:left="192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「業務費用」510萬元：</w:t>
      </w:r>
    </w:p>
    <w:p w14:paraId="430FBE10" w14:textId="77777777" w:rsidR="005623BD" w:rsidRPr="004130DD" w:rsidRDefault="005623BD" w:rsidP="003E0B03">
      <w:pPr>
        <w:autoSpaceDE w:val="0"/>
        <w:autoSpaceDN w:val="0"/>
        <w:ind w:leftChars="600" w:left="224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「服務費用」之「旅運費」370萬元、「專業服務費」100萬元、「公關慰勞費」25萬元。</w:t>
      </w:r>
    </w:p>
    <w:p w14:paraId="4DFB4188" w14:textId="77777777" w:rsidR="005623BD" w:rsidRPr="004130DD" w:rsidRDefault="005623BD" w:rsidP="003E0B03">
      <w:pPr>
        <w:autoSpaceDE w:val="0"/>
        <w:autoSpaceDN w:val="0"/>
        <w:ind w:leftChars="600" w:left="224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「材料及用品費」之「使用材料費」5萬元。</w:t>
      </w:r>
    </w:p>
    <w:p w14:paraId="3B0DD074" w14:textId="77777777" w:rsidR="005623BD" w:rsidRPr="004130DD" w:rsidRDefault="005623BD" w:rsidP="003E0B03">
      <w:pPr>
        <w:autoSpaceDE w:val="0"/>
        <w:autoSpaceDN w:val="0"/>
        <w:ind w:leftChars="600" w:left="224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「折舊及攤銷」之「攤銷」10萬元。</w:t>
      </w:r>
    </w:p>
    <w:p w14:paraId="1C02C803" w14:textId="77777777" w:rsidR="005623BD" w:rsidRPr="004130DD" w:rsidRDefault="005623BD" w:rsidP="00187217">
      <w:pPr>
        <w:autoSpaceDE w:val="0"/>
        <w:autoSpaceDN w:val="0"/>
        <w:ind w:leftChars="500" w:left="192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「管理費用」37萬元：</w:t>
      </w:r>
    </w:p>
    <w:p w14:paraId="31BFD4B6" w14:textId="77777777" w:rsidR="005623BD" w:rsidRPr="004130DD" w:rsidRDefault="005623BD" w:rsidP="003E0B03">
      <w:pPr>
        <w:autoSpaceDE w:val="0"/>
        <w:autoSpaceDN w:val="0"/>
        <w:ind w:leftChars="600" w:left="224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「服務費用」之「旅運費」14萬元、「公關慰勞費」23萬元。</w:t>
      </w:r>
    </w:p>
    <w:p w14:paraId="275017BF" w14:textId="16D1D24C" w:rsidR="005623BD" w:rsidRPr="004130DD" w:rsidRDefault="004130DD" w:rsidP="005623BD">
      <w:pPr>
        <w:autoSpaceDE w:val="0"/>
        <w:autoSpaceDN w:val="0"/>
        <w:ind w:leftChars="450" w:left="1760" w:hangingChars="100" w:hanging="320"/>
        <w:jc w:val="both"/>
        <w:rPr>
          <w:rFonts w:ascii="標楷體" w:eastAsia="標楷體" w:hAnsi="標楷體" w:cs="華康細明體"/>
          <w:kern w:val="0"/>
        </w:rPr>
      </w:pPr>
      <w:r>
        <w:rPr>
          <w:rFonts w:ascii="標楷體" w:eastAsia="標楷體" w:hAnsi="標楷體"/>
        </w:rPr>
        <w:fldChar w:fldCharType="begin"/>
      </w:r>
      <w:r>
        <w:rPr>
          <w:rFonts w:ascii="標楷體" w:eastAsia="標楷體" w:hAnsi="標楷體"/>
        </w:rPr>
        <w:instrText xml:space="preserve"> </w:instrText>
      </w:r>
      <w:r>
        <w:rPr>
          <w:rFonts w:ascii="標楷體" w:eastAsia="標楷體" w:hAnsi="標楷體" w:hint="eastAsia"/>
        </w:rPr>
        <w:instrText>eq \o\ac(○,</w:instrText>
      </w:r>
      <w:r w:rsidRPr="004130DD">
        <w:rPr>
          <w:rFonts w:ascii="標楷體" w:eastAsia="標楷體" w:hAnsi="標楷體" w:hint="eastAsia"/>
          <w:position w:val="4"/>
          <w:sz w:val="22"/>
        </w:rPr>
        <w:instrText>2</w:instrText>
      </w:r>
      <w:r>
        <w:rPr>
          <w:rFonts w:ascii="標楷體" w:eastAsia="標楷體" w:hAnsi="標楷體" w:hint="eastAsia"/>
        </w:rPr>
        <w:instrText>)</w:instrText>
      </w:r>
      <w:r>
        <w:rPr>
          <w:rFonts w:ascii="標楷體" w:eastAsia="標楷體" w:hAnsi="標楷體"/>
        </w:rPr>
        <w:fldChar w:fldCharType="end"/>
      </w:r>
      <w:r w:rsidR="005623BD" w:rsidRPr="004130DD">
        <w:rPr>
          <w:rFonts w:ascii="標楷體" w:eastAsia="標楷體" w:hAnsi="標楷體" w:cs="華康細明體" w:hint="eastAsia"/>
          <w:kern w:val="0"/>
        </w:rPr>
        <w:t>中央造幣廠17萬元：</w:t>
      </w:r>
    </w:p>
    <w:p w14:paraId="46ABB4C1" w14:textId="77777777" w:rsidR="005623BD" w:rsidRPr="004130DD" w:rsidRDefault="005623BD" w:rsidP="00187217">
      <w:pPr>
        <w:autoSpaceDE w:val="0"/>
        <w:autoSpaceDN w:val="0"/>
        <w:ind w:leftChars="500" w:left="192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「業務費用」項下「服務費用」2萬元、「材料及用品費」5萬元。</w:t>
      </w:r>
    </w:p>
    <w:p w14:paraId="44423D0F" w14:textId="77777777" w:rsidR="005623BD" w:rsidRPr="004130DD" w:rsidRDefault="005623BD" w:rsidP="00187217">
      <w:pPr>
        <w:autoSpaceDE w:val="0"/>
        <w:autoSpaceDN w:val="0"/>
        <w:ind w:leftChars="500" w:left="192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「其他營業費用」項下「研究發展費用」10萬元。</w:t>
      </w:r>
    </w:p>
    <w:p w14:paraId="3C2D4656" w14:textId="383CECC8" w:rsidR="005623BD" w:rsidRPr="004130DD" w:rsidRDefault="004130DD" w:rsidP="005623BD">
      <w:pPr>
        <w:autoSpaceDE w:val="0"/>
        <w:autoSpaceDN w:val="0"/>
        <w:ind w:leftChars="450" w:left="1760" w:hangingChars="100" w:hanging="320"/>
        <w:jc w:val="both"/>
        <w:rPr>
          <w:rFonts w:ascii="標楷體" w:eastAsia="標楷體" w:hAnsi="標楷體" w:cs="華康細明體"/>
          <w:kern w:val="0"/>
        </w:rPr>
      </w:pPr>
      <w:r>
        <w:rPr>
          <w:rFonts w:ascii="標楷體" w:eastAsia="標楷體" w:hAnsi="標楷體"/>
        </w:rPr>
        <w:fldChar w:fldCharType="begin"/>
      </w:r>
      <w:r>
        <w:rPr>
          <w:rFonts w:ascii="標楷體" w:eastAsia="標楷體" w:hAnsi="標楷體"/>
        </w:rPr>
        <w:instrText xml:space="preserve"> </w:instrText>
      </w:r>
      <w:r>
        <w:rPr>
          <w:rFonts w:ascii="標楷體" w:eastAsia="標楷體" w:hAnsi="標楷體" w:hint="eastAsia"/>
        </w:rPr>
        <w:instrText>eq \o\ac(○,</w:instrText>
      </w:r>
      <w:r w:rsidRPr="004130DD">
        <w:rPr>
          <w:rFonts w:ascii="標楷體" w:eastAsia="標楷體" w:hAnsi="標楷體" w:hint="eastAsia"/>
          <w:position w:val="4"/>
          <w:sz w:val="22"/>
        </w:rPr>
        <w:instrText>3</w:instrText>
      </w:r>
      <w:r>
        <w:rPr>
          <w:rFonts w:ascii="標楷體" w:eastAsia="標楷體" w:hAnsi="標楷體" w:hint="eastAsia"/>
        </w:rPr>
        <w:instrText>)</w:instrText>
      </w:r>
      <w:r>
        <w:rPr>
          <w:rFonts w:ascii="標楷體" w:eastAsia="標楷體" w:hAnsi="標楷體"/>
        </w:rPr>
        <w:fldChar w:fldCharType="end"/>
      </w:r>
      <w:r w:rsidR="005623BD" w:rsidRPr="004130DD">
        <w:rPr>
          <w:rFonts w:ascii="標楷體" w:eastAsia="標楷體" w:hAnsi="標楷體" w:cs="華康細明體" w:hint="eastAsia"/>
          <w:kern w:val="0"/>
        </w:rPr>
        <w:t>中央印製廠</w:t>
      </w:r>
      <w:r w:rsidR="003B2F9E" w:rsidRPr="00BC5A94">
        <w:rPr>
          <w:rFonts w:ascii="標楷體" w:eastAsia="標楷體" w:hAnsi="標楷體" w:cs="華康細明體" w:hint="eastAsia"/>
          <w:kern w:val="0"/>
        </w:rPr>
        <w:t>1</w:t>
      </w:r>
      <w:r w:rsidR="003B2F9E" w:rsidRPr="00BC5A94">
        <w:rPr>
          <w:rFonts w:ascii="標楷體" w:eastAsia="標楷體" w:hAnsi="標楷體" w:cs="華康細明體"/>
          <w:kern w:val="0"/>
        </w:rPr>
        <w:t>1</w:t>
      </w:r>
      <w:r w:rsidR="005623BD" w:rsidRPr="00BC5A94">
        <w:rPr>
          <w:rFonts w:ascii="標楷體" w:eastAsia="標楷體" w:hAnsi="標楷體" w:cs="華康細明體" w:hint="eastAsia"/>
          <w:kern w:val="0"/>
        </w:rPr>
        <w:t>0萬元</w:t>
      </w:r>
      <w:r w:rsidR="003B2F9E" w:rsidRPr="00BC5A94">
        <w:rPr>
          <w:rFonts w:ascii="標楷體" w:eastAsia="標楷體" w:hAnsi="標楷體" w:cs="華康細明體" w:hint="eastAsia"/>
          <w:kern w:val="0"/>
        </w:rPr>
        <w:t>(含「營業費用」50萬元)</w:t>
      </w:r>
      <w:r w:rsidR="005623BD" w:rsidRPr="00BC5A94">
        <w:rPr>
          <w:rFonts w:ascii="標楷體" w:eastAsia="標楷體" w:hAnsi="標楷體" w:cs="華康細明體" w:hint="eastAsia"/>
          <w:kern w:val="0"/>
        </w:rPr>
        <w:t>：</w:t>
      </w:r>
    </w:p>
    <w:p w14:paraId="2FF01B93" w14:textId="77777777" w:rsidR="005623BD" w:rsidRPr="004130DD" w:rsidRDefault="005623BD" w:rsidP="00187217">
      <w:pPr>
        <w:autoSpaceDE w:val="0"/>
        <w:autoSpaceDN w:val="0"/>
        <w:ind w:leftChars="500" w:left="192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「業務費用」15萬元（含「服務費用」之「旅運費」5萬元）。</w:t>
      </w:r>
    </w:p>
    <w:p w14:paraId="295E9113" w14:textId="77777777" w:rsidR="005623BD" w:rsidRPr="004130DD" w:rsidRDefault="005623BD" w:rsidP="00187217">
      <w:pPr>
        <w:autoSpaceDE w:val="0"/>
        <w:autoSpaceDN w:val="0"/>
        <w:ind w:leftChars="500" w:left="192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「管理費用」項下「服務費用」25萬元（含「專業服務費」5萬元）。</w:t>
      </w:r>
    </w:p>
    <w:p w14:paraId="2BF041FF" w14:textId="77777777" w:rsidR="005623BD" w:rsidRPr="004130DD" w:rsidRDefault="005623BD" w:rsidP="00187217">
      <w:pPr>
        <w:autoSpaceDE w:val="0"/>
        <w:autoSpaceDN w:val="0"/>
        <w:ind w:leftChars="500" w:left="192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「其他營業費用」項下「研究發展費用」之「服務費用」</w:t>
      </w:r>
      <w:r w:rsidRPr="004130DD">
        <w:rPr>
          <w:rFonts w:ascii="標楷體" w:eastAsia="標楷體" w:hAnsi="標楷體" w:cs="華康細明體" w:hint="eastAsia"/>
          <w:kern w:val="0"/>
        </w:rPr>
        <w:lastRenderedPageBreak/>
        <w:t>20萬元。</w:t>
      </w:r>
    </w:p>
    <w:p w14:paraId="3B20A10A" w14:textId="77777777" w:rsidR="005623BD" w:rsidRPr="003B2F9E" w:rsidRDefault="005623BD" w:rsidP="0057238B">
      <w:pPr>
        <w:autoSpaceDE w:val="0"/>
        <w:autoSpaceDN w:val="0"/>
        <w:ind w:leftChars="350" w:left="1600" w:hangingChars="150" w:hanging="480"/>
        <w:jc w:val="both"/>
        <w:rPr>
          <w:rFonts w:ascii="標楷體" w:eastAsia="標楷體" w:hAnsi="標楷體" w:cs="華康細明體"/>
          <w:kern w:val="0"/>
        </w:rPr>
      </w:pPr>
      <w:r w:rsidRPr="003B2F9E">
        <w:rPr>
          <w:rFonts w:ascii="標楷體" w:eastAsia="標楷體" w:hAnsi="標楷體" w:cs="華康細明體" w:hint="eastAsia"/>
          <w:kern w:val="0"/>
        </w:rPr>
        <w:t>(3)中央銀行「營業外費用」項下「其他營業外費用」中「什項費用」之「服務費用」13萬元（含「行銷推廣費」3萬元）。</w:t>
      </w:r>
    </w:p>
    <w:p w14:paraId="6DCEC875" w14:textId="77777777" w:rsidR="005623BD" w:rsidRPr="004130DD" w:rsidRDefault="005623BD" w:rsidP="00BC5A94">
      <w:pPr>
        <w:autoSpaceDE w:val="0"/>
        <w:autoSpaceDN w:val="0"/>
        <w:ind w:leftChars="400" w:left="1280"/>
        <w:jc w:val="both"/>
        <w:rPr>
          <w:rFonts w:ascii="標楷體" w:eastAsia="標楷體" w:hAnsi="標楷體" w:cs="華康細明體"/>
          <w:kern w:val="0"/>
        </w:rPr>
      </w:pPr>
      <w:r w:rsidRPr="004130DD">
        <w:rPr>
          <w:rFonts w:ascii="標楷體" w:eastAsia="標楷體" w:hAnsi="標楷體" w:cs="華康細明體" w:hint="eastAsia"/>
          <w:kern w:val="0"/>
        </w:rPr>
        <w:t>以上共計減列1,884萬元，其餘均照列，改列為1,405億0,380萬6千元。</w:t>
      </w:r>
    </w:p>
    <w:p w14:paraId="30ED29D0" w14:textId="77777777" w:rsidR="005623BD" w:rsidRPr="004130DD" w:rsidRDefault="005623BD" w:rsidP="005623BD">
      <w:pPr>
        <w:autoSpaceDE w:val="0"/>
        <w:autoSpaceDN w:val="0"/>
        <w:ind w:leftChars="300" w:left="1280" w:hangingChars="100" w:hanging="320"/>
        <w:jc w:val="both"/>
        <w:rPr>
          <w:rFonts w:ascii="標楷體" w:eastAsia="標楷體" w:hAnsi="標楷體" w:cs="華康細明體"/>
          <w:kern w:val="0"/>
        </w:rPr>
      </w:pPr>
      <w:r w:rsidRPr="004130DD">
        <w:rPr>
          <w:rFonts w:ascii="標楷體" w:eastAsia="標楷體" w:hAnsi="標楷體" w:cs="華康細明體" w:hint="eastAsia"/>
          <w:kern w:val="0"/>
        </w:rPr>
        <w:t>3.稅前淨利：原列1,534億1,770萬元，增列1,884萬元，改列為1,534億3,654萬元。</w:t>
      </w:r>
    </w:p>
    <w:p w14:paraId="1569ED67" w14:textId="77777777" w:rsidR="005623BD" w:rsidRPr="004130DD" w:rsidRDefault="005623BD" w:rsidP="005623BD">
      <w:pPr>
        <w:autoSpaceDE w:val="0"/>
        <w:autoSpaceDN w:val="0"/>
        <w:ind w:leftChars="100" w:left="960" w:hangingChars="200" w:hanging="640"/>
        <w:jc w:val="both"/>
        <w:rPr>
          <w:rFonts w:ascii="標楷體" w:eastAsia="標楷體" w:hAnsi="標楷體" w:cs="華康細明體"/>
          <w:kern w:val="0"/>
        </w:rPr>
      </w:pPr>
      <w:r w:rsidRPr="004130DD">
        <w:rPr>
          <w:rFonts w:ascii="標楷體" w:eastAsia="標楷體" w:hAnsi="標楷體" w:cs="華康細明體" w:hint="eastAsia"/>
          <w:kern w:val="0"/>
        </w:rPr>
        <w:t>(三)金融保險成本：營業總支出應隨同調整。</w:t>
      </w:r>
    </w:p>
    <w:p w14:paraId="1BC53DEB" w14:textId="77777777" w:rsidR="005623BD" w:rsidRPr="004130DD" w:rsidRDefault="005623BD" w:rsidP="005623BD">
      <w:pPr>
        <w:autoSpaceDE w:val="0"/>
        <w:autoSpaceDN w:val="0"/>
        <w:ind w:leftChars="100" w:left="960" w:hangingChars="200" w:hanging="640"/>
        <w:jc w:val="both"/>
        <w:rPr>
          <w:rFonts w:ascii="標楷體" w:eastAsia="標楷體" w:hAnsi="標楷體" w:cs="華康細明體"/>
          <w:kern w:val="0"/>
        </w:rPr>
      </w:pPr>
      <w:r w:rsidRPr="004130DD">
        <w:rPr>
          <w:rFonts w:ascii="標楷體" w:eastAsia="標楷體" w:hAnsi="標楷體" w:cs="華康細明體" w:hint="eastAsia"/>
          <w:kern w:val="0"/>
        </w:rPr>
        <w:t>(四)轉投資計畫：無列數。</w:t>
      </w:r>
    </w:p>
    <w:p w14:paraId="78E52E5E" w14:textId="77777777" w:rsidR="005623BD" w:rsidRPr="004130DD" w:rsidRDefault="005623BD" w:rsidP="005623BD">
      <w:pPr>
        <w:autoSpaceDE w:val="0"/>
        <w:autoSpaceDN w:val="0"/>
        <w:ind w:leftChars="100" w:left="960" w:hangingChars="200" w:hanging="640"/>
        <w:jc w:val="both"/>
        <w:rPr>
          <w:rFonts w:ascii="標楷體" w:eastAsia="標楷體" w:hAnsi="標楷體" w:cs="華康細明體"/>
          <w:kern w:val="0"/>
        </w:rPr>
      </w:pPr>
      <w:r w:rsidRPr="004130DD">
        <w:rPr>
          <w:rFonts w:ascii="標楷體" w:eastAsia="標楷體" w:hAnsi="標楷體" w:cs="華康細明體" w:hint="eastAsia"/>
          <w:kern w:val="0"/>
        </w:rPr>
        <w:t>(五)重大之建設事業：1億6,987萬7千元，照列。</w:t>
      </w:r>
    </w:p>
    <w:p w14:paraId="2FC38DE7" w14:textId="2D07226B" w:rsidR="000F169F" w:rsidRPr="004130DD" w:rsidRDefault="005623BD" w:rsidP="005623BD">
      <w:pPr>
        <w:autoSpaceDE w:val="0"/>
        <w:autoSpaceDN w:val="0"/>
        <w:ind w:leftChars="100" w:left="960" w:hangingChars="200" w:hanging="640"/>
        <w:jc w:val="both"/>
        <w:rPr>
          <w:rFonts w:ascii="標楷體" w:eastAsia="標楷體" w:hAnsi="標楷體" w:cs="華康細明體"/>
          <w:kern w:val="0"/>
        </w:rPr>
      </w:pPr>
      <w:r w:rsidRPr="004130DD">
        <w:rPr>
          <w:rFonts w:ascii="標楷體" w:eastAsia="標楷體" w:hAnsi="標楷體" w:cs="華康細明體" w:hint="eastAsia"/>
          <w:kern w:val="0"/>
        </w:rPr>
        <w:t>(六)資金運用：應依據營業收支、金融保險成本、盈虧撥補、轉投資及重大之建設事業等項之審查結果，隨同調整。</w:t>
      </w:r>
    </w:p>
    <w:p w14:paraId="7C27AEBB" w14:textId="441DE38D" w:rsidR="000F169F" w:rsidRPr="001B6E3D" w:rsidRDefault="000F169F" w:rsidP="00560C51">
      <w:pPr>
        <w:autoSpaceDE w:val="0"/>
        <w:autoSpaceDN w:val="0"/>
        <w:ind w:leftChars="100" w:left="960" w:hangingChars="200" w:hanging="640"/>
        <w:jc w:val="both"/>
        <w:rPr>
          <w:rFonts w:ascii="標楷體" w:eastAsia="標楷體" w:hAnsi="標楷體" w:cs="華康細明體"/>
          <w:b/>
          <w:color w:val="FF0000"/>
          <w:kern w:val="0"/>
        </w:rPr>
      </w:pPr>
      <w:r w:rsidRPr="004130DD">
        <w:rPr>
          <w:rFonts w:ascii="標楷體" w:eastAsia="標楷體" w:hAnsi="標楷體" w:cs="華康細明體" w:hint="eastAsia"/>
          <w:kern w:val="0"/>
        </w:rPr>
        <w:t>(七)通過決議</w:t>
      </w:r>
      <w:r w:rsidR="00B05DA0" w:rsidRPr="004130DD">
        <w:rPr>
          <w:rFonts w:ascii="標楷體" w:eastAsia="標楷體" w:hAnsi="標楷體" w:cs="華康細明體" w:hint="eastAsia"/>
          <w:kern w:val="0"/>
        </w:rPr>
        <w:t>4</w:t>
      </w:r>
      <w:r w:rsidRPr="004130DD">
        <w:rPr>
          <w:rFonts w:ascii="標楷體" w:eastAsia="標楷體" w:hAnsi="標楷體" w:cs="華康細明體" w:hint="eastAsia"/>
          <w:kern w:val="0"/>
        </w:rPr>
        <w:t>0項：</w:t>
      </w:r>
    </w:p>
    <w:p w14:paraId="7EEA7EF1" w14:textId="7F9EA1BA" w:rsidR="00B05DA0" w:rsidRPr="00B05DA0" w:rsidRDefault="00B05DA0" w:rsidP="00560C51">
      <w:pPr>
        <w:adjustRightInd/>
        <w:snapToGrid/>
        <w:ind w:leftChars="300" w:left="1280" w:hangingChars="100" w:hanging="320"/>
        <w:jc w:val="both"/>
        <w:outlineLvl w:val="0"/>
        <w:rPr>
          <w:color w:val="FF0000"/>
        </w:rPr>
      </w:pPr>
      <w:r w:rsidRPr="00B05DA0">
        <w:rPr>
          <w:rFonts w:hint="eastAsia"/>
        </w:rPr>
        <w:t>1</w:t>
      </w:r>
      <w:r w:rsidRPr="00B05DA0">
        <w:t>.</w:t>
      </w:r>
      <w:r w:rsidRPr="00686A55">
        <w:t>111</w:t>
      </w:r>
      <w:r w:rsidRPr="00686A55">
        <w:rPr>
          <w:rFonts w:hint="eastAsia"/>
        </w:rPr>
        <w:t>年度中央銀行預算案編列之本期淨利為</w:t>
      </w:r>
      <w:r w:rsidRPr="00686A55">
        <w:t>1,534</w:t>
      </w:r>
      <w:r w:rsidRPr="00686A55">
        <w:rPr>
          <w:rFonts w:hint="eastAsia"/>
        </w:rPr>
        <w:t>億</w:t>
      </w:r>
      <w:r w:rsidRPr="00686A55">
        <w:t>0,622</w:t>
      </w:r>
      <w:r w:rsidRPr="00686A55">
        <w:rPr>
          <w:rFonts w:hint="eastAsia"/>
        </w:rPr>
        <w:t>萬</w:t>
      </w:r>
      <w:r w:rsidRPr="00686A55">
        <w:t>4</w:t>
      </w:r>
      <w:r w:rsidRPr="00686A55">
        <w:rPr>
          <w:rFonts w:hint="eastAsia"/>
        </w:rPr>
        <w:t>千元，雖較</w:t>
      </w:r>
      <w:r w:rsidRPr="00686A55">
        <w:t>110</w:t>
      </w:r>
      <w:r w:rsidRPr="00686A55">
        <w:rPr>
          <w:rFonts w:hint="eastAsia"/>
        </w:rPr>
        <w:t>年度預算數</w:t>
      </w:r>
      <w:r w:rsidRPr="007935CB">
        <w:t>1,409</w:t>
      </w:r>
      <w:r w:rsidRPr="007935CB">
        <w:rPr>
          <w:rFonts w:hint="eastAsia"/>
        </w:rPr>
        <w:t>億</w:t>
      </w:r>
      <w:r w:rsidRPr="007935CB">
        <w:t>3</w:t>
      </w:r>
      <w:r w:rsidR="00686A55" w:rsidRPr="007935CB">
        <w:t>,</w:t>
      </w:r>
      <w:r w:rsidRPr="007935CB">
        <w:t>722</w:t>
      </w:r>
      <w:r w:rsidRPr="007935CB">
        <w:rPr>
          <w:rFonts w:hint="eastAsia"/>
        </w:rPr>
        <w:t>萬</w:t>
      </w:r>
      <w:r w:rsidRPr="007935CB">
        <w:t>7</w:t>
      </w:r>
      <w:r w:rsidRPr="007935CB">
        <w:rPr>
          <w:rFonts w:hint="eastAsia"/>
        </w:rPr>
        <w:t>千元，增加</w:t>
      </w:r>
      <w:r w:rsidRPr="007935CB">
        <w:t>124</w:t>
      </w:r>
      <w:r w:rsidRPr="007935CB">
        <w:rPr>
          <w:rFonts w:hint="eastAsia"/>
        </w:rPr>
        <w:t>億</w:t>
      </w:r>
      <w:r w:rsidRPr="007935CB">
        <w:t>6,899</w:t>
      </w:r>
      <w:r w:rsidRPr="007935CB">
        <w:rPr>
          <w:rFonts w:hint="eastAsia"/>
        </w:rPr>
        <w:t>萬</w:t>
      </w:r>
      <w:r w:rsidRPr="007935CB">
        <w:t>7</w:t>
      </w:r>
      <w:r w:rsidRPr="007935CB">
        <w:rPr>
          <w:rFonts w:hint="eastAsia"/>
        </w:rPr>
        <w:t>千元，增幅</w:t>
      </w:r>
      <w:r w:rsidRPr="007935CB">
        <w:t>8.85%</w:t>
      </w:r>
      <w:r w:rsidRPr="007935CB">
        <w:rPr>
          <w:rFonts w:hint="eastAsia"/>
        </w:rPr>
        <w:t>，惟較</w:t>
      </w:r>
      <w:r w:rsidRPr="007935CB">
        <w:t>109</w:t>
      </w:r>
      <w:r w:rsidRPr="007935CB">
        <w:rPr>
          <w:rFonts w:hint="eastAsia"/>
        </w:rPr>
        <w:t>年度決算數</w:t>
      </w:r>
      <w:r w:rsidRPr="007935CB">
        <w:t>2,162</w:t>
      </w:r>
      <w:r w:rsidRPr="007935CB">
        <w:rPr>
          <w:rFonts w:hint="eastAsia"/>
        </w:rPr>
        <w:t>億</w:t>
      </w:r>
      <w:r w:rsidRPr="007935CB">
        <w:t>4,876</w:t>
      </w:r>
      <w:r w:rsidRPr="007935CB">
        <w:rPr>
          <w:rFonts w:hint="eastAsia"/>
        </w:rPr>
        <w:t>萬</w:t>
      </w:r>
      <w:r w:rsidRPr="007935CB">
        <w:t>7</w:t>
      </w:r>
      <w:r w:rsidRPr="007935CB">
        <w:rPr>
          <w:rFonts w:hint="eastAsia"/>
        </w:rPr>
        <w:t>千元，減少</w:t>
      </w:r>
      <w:r w:rsidRPr="007935CB">
        <w:t>628</w:t>
      </w:r>
      <w:r w:rsidRPr="007935CB">
        <w:rPr>
          <w:rFonts w:hint="eastAsia"/>
        </w:rPr>
        <w:t>億</w:t>
      </w:r>
      <w:r w:rsidRPr="007935CB">
        <w:t>4,254</w:t>
      </w:r>
      <w:r w:rsidRPr="007935CB">
        <w:rPr>
          <w:rFonts w:hint="eastAsia"/>
        </w:rPr>
        <w:t>萬</w:t>
      </w:r>
      <w:r w:rsidRPr="007935CB">
        <w:t>3</w:t>
      </w:r>
      <w:r w:rsidRPr="007935CB">
        <w:rPr>
          <w:rFonts w:hint="eastAsia"/>
        </w:rPr>
        <w:t>千元，減幅達</w:t>
      </w:r>
      <w:r w:rsidRPr="007935CB">
        <w:t>29.06%</w:t>
      </w:r>
      <w:r w:rsidRPr="007935CB">
        <w:rPr>
          <w:rFonts w:hint="eastAsia"/>
        </w:rPr>
        <w:t>，究其近</w:t>
      </w:r>
      <w:r w:rsidRPr="007935CB">
        <w:t>5(105</w:t>
      </w:r>
      <w:r w:rsidR="00686A55" w:rsidRPr="007935CB">
        <w:rPr>
          <w:rFonts w:hint="eastAsia"/>
        </w:rPr>
        <w:t>至</w:t>
      </w:r>
      <w:r w:rsidRPr="007935CB">
        <w:t>109)</w:t>
      </w:r>
      <w:r w:rsidRPr="007935CB">
        <w:rPr>
          <w:rFonts w:hint="eastAsia"/>
        </w:rPr>
        <w:t>年度經審計部審定之決算盈餘與預算盈餘相較（詳附表），決算盈餘高於</w:t>
      </w:r>
      <w:r w:rsidRPr="00686A55">
        <w:rPr>
          <w:rFonts w:hint="eastAsia"/>
        </w:rPr>
        <w:t>預算盈餘分別達</w:t>
      </w:r>
      <w:r w:rsidRPr="00686A55">
        <w:t>658</w:t>
      </w:r>
      <w:r w:rsidRPr="00686A55">
        <w:rPr>
          <w:rFonts w:hint="eastAsia"/>
        </w:rPr>
        <w:t>億餘元至</w:t>
      </w:r>
      <w:r w:rsidRPr="00686A55">
        <w:t>753</w:t>
      </w:r>
      <w:r w:rsidRPr="00686A55">
        <w:rPr>
          <w:rFonts w:hint="eastAsia"/>
        </w:rPr>
        <w:t>億餘元間，而預算本期淨利均編列在</w:t>
      </w:r>
      <w:r w:rsidRPr="00686A55">
        <w:t>1,500</w:t>
      </w:r>
      <w:r w:rsidRPr="00686A55">
        <w:rPr>
          <w:rFonts w:hint="eastAsia"/>
        </w:rPr>
        <w:t>億餘元，顯見中央銀行目前所訂預算盈餘目標仍顯保守。依附屬單位預算共同項目編列作業規範規定，營業基金盈餘之編列，獨占性質事業應衡酌事業本身最近年度之投資報酬率及經營成果比率，妥訂適當盈餘目標，並以盈餘逐年成長為目標。</w:t>
      </w:r>
      <w:r w:rsidR="008E3D08">
        <w:rPr>
          <w:rFonts w:hint="eastAsia"/>
        </w:rPr>
        <w:t>是以，事業</w:t>
      </w:r>
      <w:r w:rsidR="001C5326">
        <w:rPr>
          <w:rFonts w:hint="eastAsia"/>
        </w:rPr>
        <w:t>過去之經營實績乃訂定盈餘目標之重要參據。</w:t>
      </w:r>
      <w:r w:rsidRPr="00686A55">
        <w:rPr>
          <w:rFonts w:hint="eastAsia"/>
        </w:rPr>
        <w:t>有鑑於111年度中</w:t>
      </w:r>
      <w:r w:rsidRPr="007935CB">
        <w:rPr>
          <w:rFonts w:hint="eastAsia"/>
        </w:rPr>
        <w:t>央銀行預算案未確實</w:t>
      </w:r>
      <w:r w:rsidR="00304D5C" w:rsidRPr="007935CB">
        <w:rPr>
          <w:rFonts w:hint="eastAsia"/>
        </w:rPr>
        <w:t>參</w:t>
      </w:r>
      <w:r w:rsidRPr="007935CB">
        <w:rPr>
          <w:rFonts w:hint="eastAsia"/>
        </w:rPr>
        <w:t>照以往年度預算執行情形編列</w:t>
      </w:r>
      <w:r w:rsidR="00BC5A94">
        <w:rPr>
          <w:rFonts w:hint="eastAsia"/>
        </w:rPr>
        <w:t>，</w:t>
      </w:r>
      <w:r w:rsidRPr="007935CB">
        <w:rPr>
          <w:rFonts w:hint="eastAsia"/>
        </w:rPr>
        <w:t>爰要求中央銀行針對本期淨利、</w:t>
      </w:r>
      <w:r w:rsidRPr="007935CB">
        <w:rPr>
          <w:rFonts w:hint="eastAsia"/>
        </w:rPr>
        <w:lastRenderedPageBreak/>
        <w:t>利息收入、外幣兌換利益及利息費用等預算編製於</w:t>
      </w:r>
      <w:r w:rsidRPr="00686A55">
        <w:rPr>
          <w:rFonts w:hint="eastAsia"/>
        </w:rPr>
        <w:t>3個月內向立法院財政委員會提出書面報告。</w:t>
      </w:r>
    </w:p>
    <w:p w14:paraId="47D4C879" w14:textId="77777777" w:rsidR="00304D5C" w:rsidRDefault="00B05DA0" w:rsidP="00BC5A94">
      <w:pPr>
        <w:kinsoku/>
        <w:overflowPunct/>
        <w:adjustRightInd/>
        <w:snapToGrid/>
        <w:spacing w:line="240" w:lineRule="auto"/>
        <w:ind w:firstLineChars="653" w:firstLine="1567"/>
        <w:jc w:val="center"/>
        <w:rPr>
          <w:rFonts w:ascii="標楷體" w:eastAsia="標楷體" w:hAnsi="標楷體"/>
          <w:sz w:val="24"/>
          <w:szCs w:val="22"/>
        </w:rPr>
      </w:pPr>
      <w:r w:rsidRPr="00B05DA0">
        <w:rPr>
          <w:rFonts w:ascii="標楷體" w:eastAsia="標楷體" w:hAnsi="標楷體" w:hint="eastAsia"/>
          <w:sz w:val="24"/>
          <w:szCs w:val="22"/>
        </w:rPr>
        <w:t>105</w:t>
      </w:r>
      <w:r w:rsidR="00304D5C" w:rsidRPr="007935CB">
        <w:rPr>
          <w:rFonts w:ascii="標楷體" w:eastAsia="標楷體" w:hAnsi="標楷體" w:hint="eastAsia"/>
          <w:sz w:val="24"/>
          <w:szCs w:val="22"/>
        </w:rPr>
        <w:t>至</w:t>
      </w:r>
      <w:r w:rsidRPr="007935CB">
        <w:rPr>
          <w:rFonts w:ascii="標楷體" w:eastAsia="標楷體" w:hAnsi="標楷體" w:hint="eastAsia"/>
          <w:sz w:val="24"/>
          <w:szCs w:val="22"/>
        </w:rPr>
        <w:t>111年</w:t>
      </w:r>
      <w:r w:rsidRPr="00B05DA0">
        <w:rPr>
          <w:rFonts w:ascii="標楷體" w:eastAsia="標楷體" w:hAnsi="標楷體" w:hint="eastAsia"/>
          <w:sz w:val="24"/>
          <w:szCs w:val="22"/>
        </w:rPr>
        <w:t>度中央銀行本期淨利預算編列與執行情形表</w:t>
      </w:r>
    </w:p>
    <w:p w14:paraId="1651329D" w14:textId="33D685B9" w:rsidR="007E30D7" w:rsidRDefault="00304D5C" w:rsidP="00304D5C">
      <w:pPr>
        <w:kinsoku/>
        <w:overflowPunct/>
        <w:adjustRightInd/>
        <w:snapToGrid/>
        <w:spacing w:line="240" w:lineRule="auto"/>
        <w:ind w:firstLineChars="653" w:firstLine="1567"/>
        <w:jc w:val="right"/>
        <w:rPr>
          <w:rFonts w:ascii="標楷體" w:eastAsia="標楷體" w:hAnsi="標楷體"/>
          <w:sz w:val="24"/>
          <w:szCs w:val="22"/>
        </w:rPr>
      </w:pPr>
      <w:r w:rsidRPr="00B05DA0">
        <w:rPr>
          <w:rFonts w:ascii="標楷體" w:eastAsia="標楷體" w:hAnsi="標楷體" w:hint="eastAsia"/>
          <w:sz w:val="24"/>
          <w:szCs w:val="22"/>
        </w:rPr>
        <w:t>單位:新台幣千元</w:t>
      </w:r>
    </w:p>
    <w:p w14:paraId="6F7BD837" w14:textId="18ED444E" w:rsidR="00B05DA0" w:rsidRPr="007E30D7" w:rsidRDefault="00B05DA0" w:rsidP="007E30D7">
      <w:pPr>
        <w:kinsoku/>
        <w:overflowPunct/>
        <w:adjustRightInd/>
        <w:snapToGrid/>
        <w:spacing w:line="240" w:lineRule="auto"/>
        <w:ind w:firstLineChars="653" w:firstLine="1567"/>
        <w:jc w:val="right"/>
        <w:rPr>
          <w:rFonts w:ascii="標楷體" w:eastAsia="標楷體" w:hAnsi="標楷體"/>
          <w:sz w:val="24"/>
          <w:szCs w:val="22"/>
        </w:rPr>
      </w:pPr>
    </w:p>
    <w:tbl>
      <w:tblPr>
        <w:tblpPr w:leftFromText="180" w:rightFromText="180" w:vertAnchor="text" w:horzAnchor="margin" w:tblpXSpec="right" w:tblpY="-47"/>
        <w:tblW w:w="8196" w:type="dxa"/>
        <w:tblLayout w:type="fixed"/>
        <w:tblCellMar>
          <w:left w:w="28" w:type="dxa"/>
          <w:right w:w="28" w:type="dxa"/>
        </w:tblCellMar>
        <w:tblLook w:val="04A0" w:firstRow="1" w:lastRow="0" w:firstColumn="1" w:lastColumn="0" w:noHBand="0" w:noVBand="1"/>
      </w:tblPr>
      <w:tblGrid>
        <w:gridCol w:w="1024"/>
        <w:gridCol w:w="2060"/>
        <w:gridCol w:w="1884"/>
        <w:gridCol w:w="1883"/>
        <w:gridCol w:w="1345"/>
      </w:tblGrid>
      <w:tr w:rsidR="00B05DA0" w:rsidRPr="00B05DA0" w14:paraId="001260E0" w14:textId="77777777" w:rsidTr="007E30D7">
        <w:trPr>
          <w:trHeight w:val="394"/>
        </w:trPr>
        <w:tc>
          <w:tcPr>
            <w:tcW w:w="10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2298F5" w14:textId="77777777" w:rsidR="00B05DA0" w:rsidRPr="00B05DA0" w:rsidRDefault="00B05DA0" w:rsidP="00B05DA0">
            <w:pPr>
              <w:kinsoku/>
              <w:overflowPunct/>
              <w:adjustRightInd/>
              <w:snapToGrid/>
              <w:spacing w:line="340" w:lineRule="exact"/>
              <w:jc w:val="center"/>
              <w:rPr>
                <w:rFonts w:ascii="標楷體" w:eastAsia="標楷體" w:hAnsi="標楷體" w:cs="DFKaiShu-SB-Estd-BF"/>
                <w:sz w:val="24"/>
                <w:szCs w:val="24"/>
              </w:rPr>
            </w:pPr>
            <w:r w:rsidRPr="00B05DA0">
              <w:rPr>
                <w:rFonts w:ascii="標楷體" w:eastAsia="標楷體" w:hAnsi="標楷體" w:cs="DFKaiShu-SB-Estd-BF" w:hint="eastAsia"/>
                <w:sz w:val="24"/>
                <w:szCs w:val="24"/>
              </w:rPr>
              <w:t>年度</w:t>
            </w:r>
          </w:p>
        </w:tc>
        <w:tc>
          <w:tcPr>
            <w:tcW w:w="2060" w:type="dxa"/>
            <w:tcBorders>
              <w:top w:val="single" w:sz="4" w:space="0" w:color="auto"/>
              <w:left w:val="nil"/>
              <w:bottom w:val="single" w:sz="4" w:space="0" w:color="auto"/>
              <w:right w:val="single" w:sz="4" w:space="0" w:color="auto"/>
            </w:tcBorders>
            <w:shd w:val="clear" w:color="auto" w:fill="auto"/>
            <w:noWrap/>
            <w:vAlign w:val="center"/>
            <w:hideMark/>
          </w:tcPr>
          <w:p w14:paraId="3352ED42" w14:textId="77777777" w:rsidR="00B05DA0" w:rsidRPr="00B05DA0" w:rsidRDefault="00B05DA0" w:rsidP="00B05DA0">
            <w:pPr>
              <w:kinsoku/>
              <w:overflowPunct/>
              <w:adjustRightInd/>
              <w:snapToGrid/>
              <w:spacing w:line="340" w:lineRule="exact"/>
              <w:jc w:val="center"/>
              <w:rPr>
                <w:rFonts w:ascii="標楷體" w:eastAsia="標楷體" w:hAnsi="標楷體" w:cs="DFKaiShu-SB-Estd-BF"/>
                <w:sz w:val="24"/>
                <w:szCs w:val="24"/>
              </w:rPr>
            </w:pPr>
            <w:r w:rsidRPr="00B05DA0">
              <w:rPr>
                <w:rFonts w:ascii="標楷體" w:eastAsia="標楷體" w:hAnsi="標楷體" w:cs="DFKaiShu-SB-Estd-BF" w:hint="eastAsia"/>
                <w:sz w:val="24"/>
                <w:szCs w:val="24"/>
              </w:rPr>
              <w:t>預算數(1)</w:t>
            </w:r>
          </w:p>
        </w:tc>
        <w:tc>
          <w:tcPr>
            <w:tcW w:w="1884" w:type="dxa"/>
            <w:tcBorders>
              <w:top w:val="single" w:sz="4" w:space="0" w:color="auto"/>
              <w:left w:val="nil"/>
              <w:bottom w:val="single" w:sz="4" w:space="0" w:color="auto"/>
              <w:right w:val="single" w:sz="4" w:space="0" w:color="auto"/>
            </w:tcBorders>
            <w:shd w:val="clear" w:color="auto" w:fill="auto"/>
            <w:noWrap/>
            <w:vAlign w:val="center"/>
            <w:hideMark/>
          </w:tcPr>
          <w:p w14:paraId="0F64D95E" w14:textId="77777777" w:rsidR="00B05DA0" w:rsidRPr="00B05DA0" w:rsidRDefault="00B05DA0" w:rsidP="00B05DA0">
            <w:pPr>
              <w:kinsoku/>
              <w:overflowPunct/>
              <w:adjustRightInd/>
              <w:snapToGrid/>
              <w:spacing w:line="340" w:lineRule="exact"/>
              <w:jc w:val="center"/>
              <w:rPr>
                <w:rFonts w:ascii="標楷體" w:eastAsia="標楷體" w:hAnsi="標楷體" w:cs="DFKaiShu-SB-Estd-BF"/>
                <w:sz w:val="24"/>
                <w:szCs w:val="24"/>
              </w:rPr>
            </w:pPr>
            <w:r w:rsidRPr="00B05DA0">
              <w:rPr>
                <w:rFonts w:ascii="標楷體" w:eastAsia="標楷體" w:hAnsi="標楷體" w:cs="DFKaiShu-SB-Estd-BF" w:hint="eastAsia"/>
                <w:sz w:val="24"/>
                <w:szCs w:val="24"/>
              </w:rPr>
              <w:t>決算數(2)</w:t>
            </w:r>
          </w:p>
        </w:tc>
        <w:tc>
          <w:tcPr>
            <w:tcW w:w="1883" w:type="dxa"/>
            <w:tcBorders>
              <w:top w:val="single" w:sz="4" w:space="0" w:color="auto"/>
              <w:left w:val="nil"/>
              <w:bottom w:val="single" w:sz="4" w:space="0" w:color="auto"/>
              <w:right w:val="single" w:sz="4" w:space="0" w:color="auto"/>
            </w:tcBorders>
            <w:shd w:val="clear" w:color="auto" w:fill="auto"/>
            <w:noWrap/>
            <w:vAlign w:val="center"/>
            <w:hideMark/>
          </w:tcPr>
          <w:p w14:paraId="2AF39D34" w14:textId="77777777" w:rsidR="00B05DA0" w:rsidRPr="00B05DA0" w:rsidRDefault="00B05DA0" w:rsidP="00B05DA0">
            <w:pPr>
              <w:kinsoku/>
              <w:overflowPunct/>
              <w:adjustRightInd/>
              <w:snapToGrid/>
              <w:spacing w:line="340" w:lineRule="exact"/>
              <w:jc w:val="center"/>
              <w:rPr>
                <w:rFonts w:ascii="標楷體" w:eastAsia="標楷體" w:hAnsi="標楷體" w:cs="DFKaiShu-SB-Estd-BF"/>
                <w:sz w:val="24"/>
                <w:szCs w:val="24"/>
              </w:rPr>
            </w:pPr>
            <w:r w:rsidRPr="00B05DA0">
              <w:rPr>
                <w:rFonts w:ascii="標楷體" w:eastAsia="標楷體" w:hAnsi="標楷體" w:cs="DFKaiShu-SB-Estd-BF" w:hint="eastAsia"/>
                <w:sz w:val="24"/>
                <w:szCs w:val="24"/>
              </w:rPr>
              <w:t>增減數(2)-(1)</w:t>
            </w:r>
          </w:p>
        </w:tc>
        <w:tc>
          <w:tcPr>
            <w:tcW w:w="1345" w:type="dxa"/>
            <w:tcBorders>
              <w:top w:val="single" w:sz="4" w:space="0" w:color="auto"/>
              <w:left w:val="nil"/>
              <w:bottom w:val="single" w:sz="4" w:space="0" w:color="auto"/>
              <w:right w:val="single" w:sz="4" w:space="0" w:color="auto"/>
            </w:tcBorders>
          </w:tcPr>
          <w:p w14:paraId="5EE29441" w14:textId="77777777" w:rsidR="00B05DA0" w:rsidRPr="00B05DA0" w:rsidRDefault="00B05DA0" w:rsidP="00B05DA0">
            <w:pPr>
              <w:kinsoku/>
              <w:overflowPunct/>
              <w:adjustRightInd/>
              <w:snapToGrid/>
              <w:spacing w:line="340" w:lineRule="exact"/>
              <w:jc w:val="center"/>
              <w:rPr>
                <w:rFonts w:ascii="標楷體" w:eastAsia="標楷體" w:hAnsi="標楷體" w:cs="DFKaiShu-SB-Estd-BF"/>
                <w:sz w:val="24"/>
                <w:szCs w:val="24"/>
              </w:rPr>
            </w:pPr>
            <w:r w:rsidRPr="00B05DA0">
              <w:rPr>
                <w:rFonts w:ascii="標楷體" w:eastAsia="標楷體" w:hAnsi="標楷體" w:cs="DFKaiShu-SB-Estd-BF" w:hint="eastAsia"/>
                <w:sz w:val="24"/>
                <w:szCs w:val="24"/>
              </w:rPr>
              <w:t>決算數</w:t>
            </w:r>
          </w:p>
          <w:p w14:paraId="355E5C94" w14:textId="77777777" w:rsidR="00B05DA0" w:rsidRPr="00B05DA0" w:rsidRDefault="00B05DA0" w:rsidP="00B05DA0">
            <w:pPr>
              <w:kinsoku/>
              <w:overflowPunct/>
              <w:adjustRightInd/>
              <w:snapToGrid/>
              <w:spacing w:line="340" w:lineRule="exact"/>
              <w:jc w:val="center"/>
              <w:rPr>
                <w:rFonts w:ascii="標楷體" w:eastAsia="標楷體" w:hAnsi="標楷體" w:cs="DFKaiShu-SB-Estd-BF"/>
                <w:sz w:val="24"/>
                <w:szCs w:val="24"/>
              </w:rPr>
            </w:pPr>
            <w:r w:rsidRPr="00B05DA0">
              <w:rPr>
                <w:rFonts w:ascii="標楷體" w:eastAsia="標楷體" w:hAnsi="標楷體" w:cs="DFKaiShu-SB-Estd-BF" w:hint="eastAsia"/>
                <w:sz w:val="24"/>
                <w:szCs w:val="24"/>
              </w:rPr>
              <w:t>達成率</w:t>
            </w:r>
          </w:p>
        </w:tc>
      </w:tr>
      <w:tr w:rsidR="00B05DA0" w:rsidRPr="00B05DA0" w14:paraId="6512A0D2" w14:textId="77777777" w:rsidTr="007E30D7">
        <w:trPr>
          <w:trHeight w:val="203"/>
        </w:trPr>
        <w:tc>
          <w:tcPr>
            <w:tcW w:w="1024" w:type="dxa"/>
            <w:tcBorders>
              <w:top w:val="nil"/>
              <w:left w:val="single" w:sz="4" w:space="0" w:color="auto"/>
              <w:bottom w:val="single" w:sz="4" w:space="0" w:color="auto"/>
              <w:right w:val="single" w:sz="4" w:space="0" w:color="auto"/>
            </w:tcBorders>
            <w:shd w:val="clear" w:color="auto" w:fill="auto"/>
            <w:noWrap/>
            <w:vAlign w:val="center"/>
            <w:hideMark/>
          </w:tcPr>
          <w:p w14:paraId="5C1B334F" w14:textId="77777777" w:rsidR="00B05DA0" w:rsidRPr="00B05DA0" w:rsidRDefault="00B05DA0" w:rsidP="00B05DA0">
            <w:pPr>
              <w:kinsoku/>
              <w:overflowPunct/>
              <w:adjustRightInd/>
              <w:snapToGrid/>
              <w:spacing w:line="340" w:lineRule="exact"/>
              <w:jc w:val="center"/>
              <w:rPr>
                <w:rFonts w:ascii="標楷體" w:eastAsia="標楷體" w:hAnsi="標楷體" w:cs="DFKaiShu-SB-Estd-BF"/>
                <w:sz w:val="24"/>
                <w:szCs w:val="24"/>
              </w:rPr>
            </w:pPr>
            <w:r w:rsidRPr="00B05DA0">
              <w:rPr>
                <w:rFonts w:ascii="標楷體" w:eastAsia="標楷體" w:hAnsi="標楷體" w:cs="DFKaiShu-SB-Estd-BF" w:hint="eastAsia"/>
                <w:sz w:val="24"/>
                <w:szCs w:val="24"/>
              </w:rPr>
              <w:t>105</w:t>
            </w:r>
          </w:p>
        </w:tc>
        <w:tc>
          <w:tcPr>
            <w:tcW w:w="2060" w:type="dxa"/>
            <w:tcBorders>
              <w:top w:val="nil"/>
              <w:left w:val="nil"/>
              <w:bottom w:val="single" w:sz="4" w:space="0" w:color="auto"/>
              <w:right w:val="single" w:sz="4" w:space="0" w:color="auto"/>
            </w:tcBorders>
            <w:shd w:val="clear" w:color="auto" w:fill="auto"/>
            <w:noWrap/>
            <w:vAlign w:val="center"/>
            <w:hideMark/>
          </w:tcPr>
          <w:p w14:paraId="1A8C57E9" w14:textId="77777777" w:rsidR="00B05DA0" w:rsidRPr="00B05DA0" w:rsidRDefault="00B05DA0" w:rsidP="003E3F83">
            <w:pPr>
              <w:kinsoku/>
              <w:overflowPunct/>
              <w:adjustRightInd/>
              <w:snapToGrid/>
              <w:spacing w:line="340" w:lineRule="exact"/>
              <w:ind w:rightChars="45" w:right="144"/>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150,344,015</w:t>
            </w:r>
          </w:p>
        </w:tc>
        <w:tc>
          <w:tcPr>
            <w:tcW w:w="1884" w:type="dxa"/>
            <w:tcBorders>
              <w:top w:val="nil"/>
              <w:left w:val="nil"/>
              <w:bottom w:val="single" w:sz="4" w:space="0" w:color="auto"/>
              <w:right w:val="single" w:sz="4" w:space="0" w:color="auto"/>
            </w:tcBorders>
            <w:shd w:val="clear" w:color="auto" w:fill="auto"/>
            <w:noWrap/>
            <w:vAlign w:val="center"/>
            <w:hideMark/>
          </w:tcPr>
          <w:p w14:paraId="15155093" w14:textId="77777777" w:rsidR="00B05DA0" w:rsidRPr="00B05DA0" w:rsidRDefault="00B05DA0" w:rsidP="003E3F83">
            <w:pPr>
              <w:kinsoku/>
              <w:overflowPunct/>
              <w:adjustRightInd/>
              <w:snapToGrid/>
              <w:spacing w:line="340" w:lineRule="exact"/>
              <w:ind w:rightChars="47" w:right="150"/>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225,686,629</w:t>
            </w:r>
          </w:p>
        </w:tc>
        <w:tc>
          <w:tcPr>
            <w:tcW w:w="1883" w:type="dxa"/>
            <w:tcBorders>
              <w:top w:val="nil"/>
              <w:left w:val="nil"/>
              <w:bottom w:val="single" w:sz="4" w:space="0" w:color="auto"/>
              <w:right w:val="single" w:sz="4" w:space="0" w:color="auto"/>
            </w:tcBorders>
            <w:shd w:val="clear" w:color="auto" w:fill="auto"/>
            <w:noWrap/>
            <w:vAlign w:val="center"/>
            <w:hideMark/>
          </w:tcPr>
          <w:p w14:paraId="6DC0E374" w14:textId="77777777" w:rsidR="00B05DA0" w:rsidRPr="00B05DA0" w:rsidRDefault="00B05DA0" w:rsidP="003E3F83">
            <w:pPr>
              <w:kinsoku/>
              <w:overflowPunct/>
              <w:adjustRightInd/>
              <w:snapToGrid/>
              <w:spacing w:line="340" w:lineRule="exact"/>
              <w:ind w:rightChars="46" w:right="147"/>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75,342,614</w:t>
            </w:r>
          </w:p>
        </w:tc>
        <w:tc>
          <w:tcPr>
            <w:tcW w:w="1345" w:type="dxa"/>
            <w:tcBorders>
              <w:top w:val="nil"/>
              <w:left w:val="nil"/>
              <w:bottom w:val="single" w:sz="4" w:space="0" w:color="auto"/>
              <w:right w:val="single" w:sz="4" w:space="0" w:color="auto"/>
            </w:tcBorders>
          </w:tcPr>
          <w:p w14:paraId="1BE2C0FE" w14:textId="77777777" w:rsidR="00B05DA0" w:rsidRPr="00B05DA0" w:rsidRDefault="00B05DA0" w:rsidP="003E3F83">
            <w:pPr>
              <w:kinsoku/>
              <w:overflowPunct/>
              <w:adjustRightInd/>
              <w:snapToGrid/>
              <w:spacing w:line="340" w:lineRule="exact"/>
              <w:ind w:rightChars="46" w:right="147"/>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1</w:t>
            </w:r>
            <w:r w:rsidRPr="00B05DA0">
              <w:rPr>
                <w:rFonts w:ascii="標楷體" w:eastAsia="標楷體" w:hAnsi="標楷體" w:cs="DFKaiShu-SB-Estd-BF"/>
                <w:sz w:val="24"/>
                <w:szCs w:val="24"/>
              </w:rPr>
              <w:t>50.11%</w:t>
            </w:r>
          </w:p>
        </w:tc>
      </w:tr>
      <w:tr w:rsidR="00B05DA0" w:rsidRPr="00B05DA0" w14:paraId="13E12214" w14:textId="77777777" w:rsidTr="007E30D7">
        <w:trPr>
          <w:trHeight w:val="203"/>
        </w:trPr>
        <w:tc>
          <w:tcPr>
            <w:tcW w:w="1024" w:type="dxa"/>
            <w:tcBorders>
              <w:top w:val="nil"/>
              <w:left w:val="single" w:sz="4" w:space="0" w:color="auto"/>
              <w:bottom w:val="single" w:sz="4" w:space="0" w:color="auto"/>
              <w:right w:val="single" w:sz="4" w:space="0" w:color="auto"/>
            </w:tcBorders>
            <w:shd w:val="clear" w:color="auto" w:fill="auto"/>
            <w:noWrap/>
            <w:vAlign w:val="center"/>
            <w:hideMark/>
          </w:tcPr>
          <w:p w14:paraId="16B07C3F" w14:textId="77777777" w:rsidR="00B05DA0" w:rsidRPr="00B05DA0" w:rsidRDefault="00B05DA0" w:rsidP="00B05DA0">
            <w:pPr>
              <w:kinsoku/>
              <w:overflowPunct/>
              <w:adjustRightInd/>
              <w:snapToGrid/>
              <w:spacing w:line="340" w:lineRule="exact"/>
              <w:jc w:val="center"/>
              <w:rPr>
                <w:rFonts w:ascii="標楷體" w:eastAsia="標楷體" w:hAnsi="標楷體" w:cs="DFKaiShu-SB-Estd-BF"/>
                <w:sz w:val="24"/>
                <w:szCs w:val="24"/>
              </w:rPr>
            </w:pPr>
            <w:r w:rsidRPr="00B05DA0">
              <w:rPr>
                <w:rFonts w:ascii="標楷體" w:eastAsia="標楷體" w:hAnsi="標楷體" w:cs="DFKaiShu-SB-Estd-BF" w:hint="eastAsia"/>
                <w:sz w:val="24"/>
                <w:szCs w:val="24"/>
              </w:rPr>
              <w:t>106</w:t>
            </w:r>
          </w:p>
        </w:tc>
        <w:tc>
          <w:tcPr>
            <w:tcW w:w="2060" w:type="dxa"/>
            <w:tcBorders>
              <w:top w:val="nil"/>
              <w:left w:val="nil"/>
              <w:bottom w:val="single" w:sz="4" w:space="0" w:color="auto"/>
              <w:right w:val="single" w:sz="4" w:space="0" w:color="auto"/>
            </w:tcBorders>
            <w:shd w:val="clear" w:color="auto" w:fill="auto"/>
            <w:noWrap/>
            <w:vAlign w:val="center"/>
            <w:hideMark/>
          </w:tcPr>
          <w:p w14:paraId="0B9B3C34" w14:textId="77777777" w:rsidR="00B05DA0" w:rsidRPr="00B05DA0" w:rsidRDefault="00B05DA0" w:rsidP="003E3F83">
            <w:pPr>
              <w:kinsoku/>
              <w:overflowPunct/>
              <w:adjustRightInd/>
              <w:snapToGrid/>
              <w:spacing w:line="340" w:lineRule="exact"/>
              <w:ind w:rightChars="45" w:right="144"/>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150,353,989</w:t>
            </w:r>
          </w:p>
        </w:tc>
        <w:tc>
          <w:tcPr>
            <w:tcW w:w="1884" w:type="dxa"/>
            <w:tcBorders>
              <w:top w:val="nil"/>
              <w:left w:val="nil"/>
              <w:bottom w:val="single" w:sz="4" w:space="0" w:color="auto"/>
              <w:right w:val="single" w:sz="4" w:space="0" w:color="auto"/>
            </w:tcBorders>
            <w:shd w:val="clear" w:color="auto" w:fill="auto"/>
            <w:noWrap/>
            <w:vAlign w:val="center"/>
            <w:hideMark/>
          </w:tcPr>
          <w:p w14:paraId="5D615D06" w14:textId="77777777" w:rsidR="00B05DA0" w:rsidRPr="00B05DA0" w:rsidRDefault="00B05DA0" w:rsidP="003E3F83">
            <w:pPr>
              <w:kinsoku/>
              <w:overflowPunct/>
              <w:adjustRightInd/>
              <w:snapToGrid/>
              <w:spacing w:line="340" w:lineRule="exact"/>
              <w:ind w:rightChars="47" w:right="150"/>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225,398,683</w:t>
            </w:r>
          </w:p>
        </w:tc>
        <w:tc>
          <w:tcPr>
            <w:tcW w:w="1883" w:type="dxa"/>
            <w:tcBorders>
              <w:top w:val="nil"/>
              <w:left w:val="nil"/>
              <w:bottom w:val="single" w:sz="4" w:space="0" w:color="auto"/>
              <w:right w:val="single" w:sz="4" w:space="0" w:color="auto"/>
            </w:tcBorders>
            <w:shd w:val="clear" w:color="auto" w:fill="auto"/>
            <w:noWrap/>
            <w:vAlign w:val="center"/>
            <w:hideMark/>
          </w:tcPr>
          <w:p w14:paraId="7B3A899D" w14:textId="77777777" w:rsidR="00B05DA0" w:rsidRPr="00B05DA0" w:rsidRDefault="00B05DA0" w:rsidP="003E3F83">
            <w:pPr>
              <w:kinsoku/>
              <w:overflowPunct/>
              <w:adjustRightInd/>
              <w:snapToGrid/>
              <w:spacing w:line="340" w:lineRule="exact"/>
              <w:ind w:rightChars="46" w:right="147"/>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75,044,694</w:t>
            </w:r>
          </w:p>
        </w:tc>
        <w:tc>
          <w:tcPr>
            <w:tcW w:w="1345" w:type="dxa"/>
            <w:tcBorders>
              <w:top w:val="nil"/>
              <w:left w:val="nil"/>
              <w:bottom w:val="single" w:sz="4" w:space="0" w:color="auto"/>
              <w:right w:val="single" w:sz="4" w:space="0" w:color="auto"/>
            </w:tcBorders>
          </w:tcPr>
          <w:p w14:paraId="0FBE5575" w14:textId="77777777" w:rsidR="00B05DA0" w:rsidRPr="00B05DA0" w:rsidRDefault="00B05DA0" w:rsidP="003E3F83">
            <w:pPr>
              <w:kinsoku/>
              <w:overflowPunct/>
              <w:adjustRightInd/>
              <w:snapToGrid/>
              <w:spacing w:line="340" w:lineRule="exact"/>
              <w:ind w:rightChars="46" w:right="147"/>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1</w:t>
            </w:r>
            <w:r w:rsidRPr="00B05DA0">
              <w:rPr>
                <w:rFonts w:ascii="標楷體" w:eastAsia="標楷體" w:hAnsi="標楷體" w:cs="DFKaiShu-SB-Estd-BF"/>
                <w:sz w:val="24"/>
                <w:szCs w:val="24"/>
              </w:rPr>
              <w:t>49.91%</w:t>
            </w:r>
          </w:p>
        </w:tc>
      </w:tr>
      <w:tr w:rsidR="00B05DA0" w:rsidRPr="00B05DA0" w14:paraId="4844D743" w14:textId="77777777" w:rsidTr="007E30D7">
        <w:trPr>
          <w:trHeight w:val="203"/>
        </w:trPr>
        <w:tc>
          <w:tcPr>
            <w:tcW w:w="1024" w:type="dxa"/>
            <w:tcBorders>
              <w:top w:val="nil"/>
              <w:left w:val="single" w:sz="4" w:space="0" w:color="auto"/>
              <w:bottom w:val="single" w:sz="4" w:space="0" w:color="auto"/>
              <w:right w:val="single" w:sz="4" w:space="0" w:color="auto"/>
            </w:tcBorders>
            <w:shd w:val="clear" w:color="auto" w:fill="auto"/>
            <w:noWrap/>
            <w:vAlign w:val="center"/>
            <w:hideMark/>
          </w:tcPr>
          <w:p w14:paraId="3EE51210" w14:textId="77777777" w:rsidR="00B05DA0" w:rsidRPr="00B05DA0" w:rsidRDefault="00B05DA0" w:rsidP="00B05DA0">
            <w:pPr>
              <w:kinsoku/>
              <w:overflowPunct/>
              <w:adjustRightInd/>
              <w:snapToGrid/>
              <w:spacing w:line="340" w:lineRule="exact"/>
              <w:jc w:val="center"/>
              <w:rPr>
                <w:rFonts w:ascii="標楷體" w:eastAsia="標楷體" w:hAnsi="標楷體" w:cs="DFKaiShu-SB-Estd-BF"/>
                <w:sz w:val="24"/>
                <w:szCs w:val="24"/>
              </w:rPr>
            </w:pPr>
            <w:r w:rsidRPr="00B05DA0">
              <w:rPr>
                <w:rFonts w:ascii="標楷體" w:eastAsia="標楷體" w:hAnsi="標楷體" w:cs="DFKaiShu-SB-Estd-BF" w:hint="eastAsia"/>
                <w:sz w:val="24"/>
                <w:szCs w:val="24"/>
              </w:rPr>
              <w:t>107</w:t>
            </w:r>
          </w:p>
        </w:tc>
        <w:tc>
          <w:tcPr>
            <w:tcW w:w="2060" w:type="dxa"/>
            <w:tcBorders>
              <w:top w:val="nil"/>
              <w:left w:val="nil"/>
              <w:bottom w:val="single" w:sz="4" w:space="0" w:color="auto"/>
              <w:right w:val="single" w:sz="4" w:space="0" w:color="auto"/>
            </w:tcBorders>
            <w:shd w:val="clear" w:color="auto" w:fill="auto"/>
            <w:noWrap/>
            <w:vAlign w:val="center"/>
            <w:hideMark/>
          </w:tcPr>
          <w:p w14:paraId="74F2BD83" w14:textId="77777777" w:rsidR="00B05DA0" w:rsidRPr="00B05DA0" w:rsidRDefault="00B05DA0" w:rsidP="003E3F83">
            <w:pPr>
              <w:kinsoku/>
              <w:overflowPunct/>
              <w:adjustRightInd/>
              <w:snapToGrid/>
              <w:spacing w:line="340" w:lineRule="exact"/>
              <w:ind w:rightChars="45" w:right="144"/>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150,375,895</w:t>
            </w:r>
          </w:p>
        </w:tc>
        <w:tc>
          <w:tcPr>
            <w:tcW w:w="1884" w:type="dxa"/>
            <w:tcBorders>
              <w:top w:val="nil"/>
              <w:left w:val="nil"/>
              <w:bottom w:val="single" w:sz="4" w:space="0" w:color="auto"/>
              <w:right w:val="single" w:sz="4" w:space="0" w:color="auto"/>
            </w:tcBorders>
            <w:shd w:val="clear" w:color="auto" w:fill="auto"/>
            <w:noWrap/>
            <w:vAlign w:val="center"/>
            <w:hideMark/>
          </w:tcPr>
          <w:p w14:paraId="1F5D324B" w14:textId="77777777" w:rsidR="00B05DA0" w:rsidRPr="00B05DA0" w:rsidRDefault="00B05DA0" w:rsidP="003E3F83">
            <w:pPr>
              <w:kinsoku/>
              <w:overflowPunct/>
              <w:adjustRightInd/>
              <w:snapToGrid/>
              <w:spacing w:line="340" w:lineRule="exact"/>
              <w:ind w:rightChars="47" w:right="150"/>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225,432,117</w:t>
            </w:r>
          </w:p>
        </w:tc>
        <w:tc>
          <w:tcPr>
            <w:tcW w:w="1883" w:type="dxa"/>
            <w:tcBorders>
              <w:top w:val="nil"/>
              <w:left w:val="nil"/>
              <w:bottom w:val="single" w:sz="4" w:space="0" w:color="auto"/>
              <w:right w:val="single" w:sz="4" w:space="0" w:color="auto"/>
            </w:tcBorders>
            <w:shd w:val="clear" w:color="auto" w:fill="auto"/>
            <w:noWrap/>
            <w:vAlign w:val="center"/>
            <w:hideMark/>
          </w:tcPr>
          <w:p w14:paraId="555F29B5" w14:textId="77777777" w:rsidR="00B05DA0" w:rsidRPr="00B05DA0" w:rsidRDefault="00B05DA0" w:rsidP="003E3F83">
            <w:pPr>
              <w:kinsoku/>
              <w:overflowPunct/>
              <w:adjustRightInd/>
              <w:snapToGrid/>
              <w:spacing w:line="340" w:lineRule="exact"/>
              <w:ind w:rightChars="46" w:right="147"/>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75,056,222</w:t>
            </w:r>
          </w:p>
        </w:tc>
        <w:tc>
          <w:tcPr>
            <w:tcW w:w="1345" w:type="dxa"/>
            <w:tcBorders>
              <w:top w:val="nil"/>
              <w:left w:val="nil"/>
              <w:bottom w:val="single" w:sz="4" w:space="0" w:color="auto"/>
              <w:right w:val="single" w:sz="4" w:space="0" w:color="auto"/>
            </w:tcBorders>
          </w:tcPr>
          <w:p w14:paraId="3ECFE304" w14:textId="77777777" w:rsidR="00B05DA0" w:rsidRPr="00B05DA0" w:rsidRDefault="00B05DA0" w:rsidP="003E3F83">
            <w:pPr>
              <w:kinsoku/>
              <w:overflowPunct/>
              <w:adjustRightInd/>
              <w:snapToGrid/>
              <w:spacing w:line="340" w:lineRule="exact"/>
              <w:ind w:rightChars="46" w:right="147"/>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1</w:t>
            </w:r>
            <w:r w:rsidRPr="00B05DA0">
              <w:rPr>
                <w:rFonts w:ascii="標楷體" w:eastAsia="標楷體" w:hAnsi="標楷體" w:cs="DFKaiShu-SB-Estd-BF"/>
                <w:sz w:val="24"/>
                <w:szCs w:val="24"/>
              </w:rPr>
              <w:t>49.91%</w:t>
            </w:r>
          </w:p>
        </w:tc>
      </w:tr>
      <w:tr w:rsidR="00B05DA0" w:rsidRPr="00B05DA0" w14:paraId="174E1236" w14:textId="77777777" w:rsidTr="007E30D7">
        <w:trPr>
          <w:trHeight w:val="203"/>
        </w:trPr>
        <w:tc>
          <w:tcPr>
            <w:tcW w:w="1024" w:type="dxa"/>
            <w:tcBorders>
              <w:top w:val="nil"/>
              <w:left w:val="single" w:sz="4" w:space="0" w:color="auto"/>
              <w:bottom w:val="single" w:sz="4" w:space="0" w:color="auto"/>
              <w:right w:val="single" w:sz="4" w:space="0" w:color="auto"/>
            </w:tcBorders>
            <w:shd w:val="clear" w:color="auto" w:fill="auto"/>
            <w:noWrap/>
            <w:vAlign w:val="center"/>
            <w:hideMark/>
          </w:tcPr>
          <w:p w14:paraId="1402F1C5" w14:textId="77777777" w:rsidR="00B05DA0" w:rsidRPr="00B05DA0" w:rsidRDefault="00B05DA0" w:rsidP="00B05DA0">
            <w:pPr>
              <w:kinsoku/>
              <w:overflowPunct/>
              <w:adjustRightInd/>
              <w:snapToGrid/>
              <w:spacing w:line="340" w:lineRule="exact"/>
              <w:jc w:val="center"/>
              <w:rPr>
                <w:rFonts w:ascii="標楷體" w:eastAsia="標楷體" w:hAnsi="標楷體" w:cs="DFKaiShu-SB-Estd-BF"/>
                <w:sz w:val="24"/>
                <w:szCs w:val="24"/>
              </w:rPr>
            </w:pPr>
            <w:r w:rsidRPr="00B05DA0">
              <w:rPr>
                <w:rFonts w:ascii="標楷體" w:eastAsia="標楷體" w:hAnsi="標楷體" w:cs="DFKaiShu-SB-Estd-BF" w:hint="eastAsia"/>
                <w:sz w:val="24"/>
                <w:szCs w:val="24"/>
              </w:rPr>
              <w:t>108</w:t>
            </w:r>
          </w:p>
        </w:tc>
        <w:tc>
          <w:tcPr>
            <w:tcW w:w="2060" w:type="dxa"/>
            <w:tcBorders>
              <w:top w:val="nil"/>
              <w:left w:val="nil"/>
              <w:bottom w:val="single" w:sz="4" w:space="0" w:color="auto"/>
              <w:right w:val="single" w:sz="4" w:space="0" w:color="auto"/>
            </w:tcBorders>
            <w:shd w:val="clear" w:color="auto" w:fill="auto"/>
            <w:noWrap/>
            <w:vAlign w:val="center"/>
            <w:hideMark/>
          </w:tcPr>
          <w:p w14:paraId="5001D088" w14:textId="77777777" w:rsidR="00B05DA0" w:rsidRPr="00B05DA0" w:rsidRDefault="00B05DA0" w:rsidP="003E3F83">
            <w:pPr>
              <w:kinsoku/>
              <w:overflowPunct/>
              <w:adjustRightInd/>
              <w:snapToGrid/>
              <w:spacing w:line="340" w:lineRule="exact"/>
              <w:ind w:rightChars="45" w:right="144"/>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150,398,823</w:t>
            </w:r>
          </w:p>
        </w:tc>
        <w:tc>
          <w:tcPr>
            <w:tcW w:w="1884" w:type="dxa"/>
            <w:tcBorders>
              <w:top w:val="nil"/>
              <w:left w:val="nil"/>
              <w:bottom w:val="single" w:sz="4" w:space="0" w:color="auto"/>
              <w:right w:val="single" w:sz="4" w:space="0" w:color="auto"/>
            </w:tcBorders>
            <w:shd w:val="clear" w:color="auto" w:fill="auto"/>
            <w:noWrap/>
            <w:vAlign w:val="center"/>
            <w:hideMark/>
          </w:tcPr>
          <w:p w14:paraId="70A9D38F" w14:textId="77777777" w:rsidR="00B05DA0" w:rsidRPr="00B05DA0" w:rsidRDefault="00B05DA0" w:rsidP="003E3F83">
            <w:pPr>
              <w:kinsoku/>
              <w:overflowPunct/>
              <w:adjustRightInd/>
              <w:snapToGrid/>
              <w:spacing w:line="340" w:lineRule="exact"/>
              <w:ind w:rightChars="47" w:right="150"/>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225,463,565</w:t>
            </w:r>
          </w:p>
        </w:tc>
        <w:tc>
          <w:tcPr>
            <w:tcW w:w="1883" w:type="dxa"/>
            <w:tcBorders>
              <w:top w:val="nil"/>
              <w:left w:val="nil"/>
              <w:bottom w:val="single" w:sz="4" w:space="0" w:color="auto"/>
              <w:right w:val="single" w:sz="4" w:space="0" w:color="auto"/>
            </w:tcBorders>
            <w:shd w:val="clear" w:color="auto" w:fill="auto"/>
            <w:noWrap/>
            <w:vAlign w:val="center"/>
            <w:hideMark/>
          </w:tcPr>
          <w:p w14:paraId="3E261334" w14:textId="77777777" w:rsidR="00B05DA0" w:rsidRPr="00B05DA0" w:rsidRDefault="00B05DA0" w:rsidP="003E3F83">
            <w:pPr>
              <w:kinsoku/>
              <w:overflowPunct/>
              <w:adjustRightInd/>
              <w:snapToGrid/>
              <w:spacing w:line="340" w:lineRule="exact"/>
              <w:ind w:rightChars="46" w:right="147"/>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75,064,742</w:t>
            </w:r>
          </w:p>
        </w:tc>
        <w:tc>
          <w:tcPr>
            <w:tcW w:w="1345" w:type="dxa"/>
            <w:tcBorders>
              <w:top w:val="nil"/>
              <w:left w:val="nil"/>
              <w:bottom w:val="single" w:sz="4" w:space="0" w:color="auto"/>
              <w:right w:val="single" w:sz="4" w:space="0" w:color="auto"/>
            </w:tcBorders>
          </w:tcPr>
          <w:p w14:paraId="55BB8E47" w14:textId="77777777" w:rsidR="00B05DA0" w:rsidRPr="00B05DA0" w:rsidRDefault="00B05DA0" w:rsidP="003E3F83">
            <w:pPr>
              <w:kinsoku/>
              <w:overflowPunct/>
              <w:adjustRightInd/>
              <w:snapToGrid/>
              <w:spacing w:line="340" w:lineRule="exact"/>
              <w:ind w:rightChars="46" w:right="147"/>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1</w:t>
            </w:r>
            <w:r w:rsidRPr="00B05DA0">
              <w:rPr>
                <w:rFonts w:ascii="標楷體" w:eastAsia="標楷體" w:hAnsi="標楷體" w:cs="DFKaiShu-SB-Estd-BF"/>
                <w:sz w:val="24"/>
                <w:szCs w:val="24"/>
              </w:rPr>
              <w:t>49.91%</w:t>
            </w:r>
          </w:p>
        </w:tc>
      </w:tr>
      <w:tr w:rsidR="00B05DA0" w:rsidRPr="00B05DA0" w14:paraId="0B065022" w14:textId="77777777" w:rsidTr="007E30D7">
        <w:trPr>
          <w:trHeight w:val="203"/>
        </w:trPr>
        <w:tc>
          <w:tcPr>
            <w:tcW w:w="10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1D61FB" w14:textId="77777777" w:rsidR="00B05DA0" w:rsidRPr="00B05DA0" w:rsidRDefault="00B05DA0" w:rsidP="00B05DA0">
            <w:pPr>
              <w:kinsoku/>
              <w:overflowPunct/>
              <w:adjustRightInd/>
              <w:snapToGrid/>
              <w:spacing w:line="340" w:lineRule="exact"/>
              <w:jc w:val="center"/>
              <w:rPr>
                <w:rFonts w:ascii="標楷體" w:eastAsia="標楷體" w:hAnsi="標楷體" w:cs="DFKaiShu-SB-Estd-BF"/>
                <w:sz w:val="24"/>
                <w:szCs w:val="24"/>
              </w:rPr>
            </w:pPr>
            <w:r w:rsidRPr="00B05DA0">
              <w:rPr>
                <w:rFonts w:ascii="標楷體" w:eastAsia="標楷體" w:hAnsi="標楷體" w:cs="DFKaiShu-SB-Estd-BF" w:hint="eastAsia"/>
                <w:sz w:val="24"/>
                <w:szCs w:val="24"/>
              </w:rPr>
              <w:t>109</w:t>
            </w:r>
          </w:p>
        </w:tc>
        <w:tc>
          <w:tcPr>
            <w:tcW w:w="2060" w:type="dxa"/>
            <w:tcBorders>
              <w:top w:val="single" w:sz="4" w:space="0" w:color="auto"/>
              <w:left w:val="nil"/>
              <w:bottom w:val="single" w:sz="4" w:space="0" w:color="auto"/>
              <w:right w:val="single" w:sz="4" w:space="0" w:color="auto"/>
            </w:tcBorders>
            <w:shd w:val="clear" w:color="auto" w:fill="auto"/>
            <w:noWrap/>
            <w:vAlign w:val="center"/>
            <w:hideMark/>
          </w:tcPr>
          <w:p w14:paraId="6744B525" w14:textId="77777777" w:rsidR="00B05DA0" w:rsidRPr="00B05DA0" w:rsidRDefault="00B05DA0" w:rsidP="003E3F83">
            <w:pPr>
              <w:kinsoku/>
              <w:overflowPunct/>
              <w:adjustRightInd/>
              <w:snapToGrid/>
              <w:spacing w:line="340" w:lineRule="exact"/>
              <w:ind w:rightChars="45" w:right="144"/>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150,411,462</w:t>
            </w:r>
          </w:p>
        </w:tc>
        <w:tc>
          <w:tcPr>
            <w:tcW w:w="1884" w:type="dxa"/>
            <w:tcBorders>
              <w:top w:val="single" w:sz="4" w:space="0" w:color="auto"/>
              <w:left w:val="nil"/>
              <w:bottom w:val="single" w:sz="4" w:space="0" w:color="auto"/>
              <w:right w:val="single" w:sz="4" w:space="0" w:color="auto"/>
            </w:tcBorders>
            <w:shd w:val="clear" w:color="auto" w:fill="auto"/>
            <w:noWrap/>
            <w:vAlign w:val="center"/>
            <w:hideMark/>
          </w:tcPr>
          <w:p w14:paraId="51E639E9" w14:textId="77777777" w:rsidR="00B05DA0" w:rsidRPr="00B05DA0" w:rsidRDefault="00B05DA0" w:rsidP="003E3F83">
            <w:pPr>
              <w:kinsoku/>
              <w:overflowPunct/>
              <w:adjustRightInd/>
              <w:snapToGrid/>
              <w:spacing w:line="340" w:lineRule="exact"/>
              <w:ind w:rightChars="47" w:right="150"/>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216,248,767</w:t>
            </w:r>
          </w:p>
        </w:tc>
        <w:tc>
          <w:tcPr>
            <w:tcW w:w="1883" w:type="dxa"/>
            <w:tcBorders>
              <w:top w:val="single" w:sz="4" w:space="0" w:color="auto"/>
              <w:left w:val="nil"/>
              <w:bottom w:val="single" w:sz="4" w:space="0" w:color="auto"/>
              <w:right w:val="single" w:sz="4" w:space="0" w:color="auto"/>
            </w:tcBorders>
            <w:shd w:val="clear" w:color="auto" w:fill="auto"/>
            <w:noWrap/>
            <w:vAlign w:val="center"/>
            <w:hideMark/>
          </w:tcPr>
          <w:p w14:paraId="084887F3" w14:textId="77777777" w:rsidR="00B05DA0" w:rsidRPr="00B05DA0" w:rsidRDefault="00B05DA0" w:rsidP="003E3F83">
            <w:pPr>
              <w:kinsoku/>
              <w:overflowPunct/>
              <w:adjustRightInd/>
              <w:snapToGrid/>
              <w:spacing w:line="340" w:lineRule="exact"/>
              <w:ind w:rightChars="46" w:right="147"/>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65,837,305</w:t>
            </w:r>
          </w:p>
        </w:tc>
        <w:tc>
          <w:tcPr>
            <w:tcW w:w="1345" w:type="dxa"/>
            <w:tcBorders>
              <w:top w:val="single" w:sz="4" w:space="0" w:color="auto"/>
              <w:left w:val="nil"/>
              <w:bottom w:val="single" w:sz="4" w:space="0" w:color="auto"/>
              <w:right w:val="single" w:sz="4" w:space="0" w:color="auto"/>
            </w:tcBorders>
          </w:tcPr>
          <w:p w14:paraId="619422C2" w14:textId="77777777" w:rsidR="00B05DA0" w:rsidRPr="00B05DA0" w:rsidRDefault="00B05DA0" w:rsidP="003E3F83">
            <w:pPr>
              <w:kinsoku/>
              <w:overflowPunct/>
              <w:adjustRightInd/>
              <w:snapToGrid/>
              <w:spacing w:line="340" w:lineRule="exact"/>
              <w:ind w:rightChars="46" w:right="147"/>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1</w:t>
            </w:r>
            <w:r w:rsidRPr="00B05DA0">
              <w:rPr>
                <w:rFonts w:ascii="標楷體" w:eastAsia="標楷體" w:hAnsi="標楷體" w:cs="DFKaiShu-SB-Estd-BF"/>
                <w:sz w:val="24"/>
                <w:szCs w:val="24"/>
              </w:rPr>
              <w:t>43.77%</w:t>
            </w:r>
          </w:p>
        </w:tc>
      </w:tr>
      <w:tr w:rsidR="00B05DA0" w:rsidRPr="00B05DA0" w14:paraId="3BAC6DFA" w14:textId="77777777" w:rsidTr="007E30D7">
        <w:trPr>
          <w:trHeight w:val="203"/>
        </w:trPr>
        <w:tc>
          <w:tcPr>
            <w:tcW w:w="10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3CF229" w14:textId="77777777" w:rsidR="00B05DA0" w:rsidRPr="00B05DA0" w:rsidRDefault="00B05DA0" w:rsidP="00B05DA0">
            <w:pPr>
              <w:kinsoku/>
              <w:overflowPunct/>
              <w:adjustRightInd/>
              <w:snapToGrid/>
              <w:spacing w:line="340" w:lineRule="exact"/>
              <w:jc w:val="center"/>
              <w:rPr>
                <w:rFonts w:ascii="標楷體" w:eastAsia="標楷體" w:hAnsi="標楷體" w:cs="DFKaiShu-SB-Estd-BF"/>
                <w:sz w:val="24"/>
                <w:szCs w:val="24"/>
              </w:rPr>
            </w:pPr>
            <w:r w:rsidRPr="00B05DA0">
              <w:rPr>
                <w:rFonts w:ascii="標楷體" w:eastAsia="標楷體" w:hAnsi="標楷體" w:cs="DFKaiShu-SB-Estd-BF" w:hint="eastAsia"/>
                <w:sz w:val="24"/>
                <w:szCs w:val="24"/>
              </w:rPr>
              <w:t>110</w:t>
            </w:r>
          </w:p>
        </w:tc>
        <w:tc>
          <w:tcPr>
            <w:tcW w:w="2060" w:type="dxa"/>
            <w:tcBorders>
              <w:top w:val="single" w:sz="4" w:space="0" w:color="auto"/>
              <w:left w:val="nil"/>
              <w:bottom w:val="single" w:sz="4" w:space="0" w:color="auto"/>
              <w:right w:val="single" w:sz="4" w:space="0" w:color="auto"/>
            </w:tcBorders>
            <w:shd w:val="clear" w:color="auto" w:fill="auto"/>
            <w:noWrap/>
          </w:tcPr>
          <w:p w14:paraId="1922BF27" w14:textId="77777777" w:rsidR="00B05DA0" w:rsidRPr="00B05DA0" w:rsidRDefault="00B05DA0" w:rsidP="003E3F83">
            <w:pPr>
              <w:kinsoku/>
              <w:overflowPunct/>
              <w:adjustRightInd/>
              <w:snapToGrid/>
              <w:spacing w:line="240" w:lineRule="auto"/>
              <w:jc w:val="right"/>
              <w:rPr>
                <w:rFonts w:ascii="標楷體" w:eastAsia="標楷體" w:hAnsi="標楷體" w:cs="DFKaiShu-SB-Estd-BF"/>
                <w:sz w:val="24"/>
                <w:szCs w:val="24"/>
              </w:rPr>
            </w:pPr>
            <w:r w:rsidRPr="00B05DA0">
              <w:rPr>
                <w:rFonts w:ascii="標楷體" w:eastAsia="標楷體" w:hAnsi="標楷體" w:cs="DFKaiShu-SB-Estd-BF"/>
                <w:sz w:val="24"/>
                <w:szCs w:val="24"/>
              </w:rPr>
              <w:t>140,937,227</w:t>
            </w:r>
          </w:p>
        </w:tc>
        <w:tc>
          <w:tcPr>
            <w:tcW w:w="1884" w:type="dxa"/>
            <w:tcBorders>
              <w:top w:val="single" w:sz="4" w:space="0" w:color="auto"/>
              <w:left w:val="nil"/>
              <w:bottom w:val="single" w:sz="4" w:space="0" w:color="auto"/>
              <w:right w:val="single" w:sz="4" w:space="0" w:color="auto"/>
            </w:tcBorders>
            <w:shd w:val="clear" w:color="auto" w:fill="auto"/>
            <w:noWrap/>
            <w:vAlign w:val="center"/>
          </w:tcPr>
          <w:p w14:paraId="650BEDBE" w14:textId="77777777" w:rsidR="00B05DA0" w:rsidRPr="00B05DA0" w:rsidRDefault="00B05DA0" w:rsidP="003E3F83">
            <w:pPr>
              <w:kinsoku/>
              <w:overflowPunct/>
              <w:adjustRightInd/>
              <w:snapToGrid/>
              <w:spacing w:line="300" w:lineRule="exact"/>
              <w:ind w:rightChars="47" w:right="150"/>
              <w:jc w:val="right"/>
              <w:rPr>
                <w:rFonts w:ascii="標楷體" w:eastAsia="標楷體" w:hAnsi="標楷體" w:cs="DFKaiShu-SB-Estd-BF"/>
                <w:sz w:val="24"/>
                <w:szCs w:val="24"/>
              </w:rPr>
            </w:pPr>
            <w:r w:rsidRPr="00B05DA0">
              <w:rPr>
                <w:rFonts w:ascii="標楷體" w:eastAsia="標楷體" w:hAnsi="標楷體" w:cs="DFKaiShu-SB-Estd-BF"/>
                <w:sz w:val="24"/>
                <w:szCs w:val="24"/>
              </w:rPr>
              <w:t>183,202,973</w:t>
            </w:r>
          </w:p>
          <w:p w14:paraId="15AC832B" w14:textId="361CB9FA" w:rsidR="00B05DA0" w:rsidRPr="00B05DA0" w:rsidRDefault="00B05DA0" w:rsidP="003E3F83">
            <w:pPr>
              <w:kinsoku/>
              <w:overflowPunct/>
              <w:adjustRightInd/>
              <w:snapToGrid/>
              <w:spacing w:line="300" w:lineRule="exact"/>
              <w:ind w:rightChars="47" w:right="150"/>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(截至11月底)</w:t>
            </w:r>
          </w:p>
        </w:tc>
        <w:tc>
          <w:tcPr>
            <w:tcW w:w="1883" w:type="dxa"/>
            <w:tcBorders>
              <w:top w:val="single" w:sz="4" w:space="0" w:color="auto"/>
              <w:left w:val="nil"/>
              <w:bottom w:val="single" w:sz="4" w:space="0" w:color="auto"/>
              <w:right w:val="single" w:sz="4" w:space="0" w:color="auto"/>
            </w:tcBorders>
            <w:shd w:val="clear" w:color="auto" w:fill="auto"/>
            <w:noWrap/>
            <w:vAlign w:val="center"/>
          </w:tcPr>
          <w:p w14:paraId="1630C6BD" w14:textId="77777777" w:rsidR="00B05DA0" w:rsidRPr="00B05DA0" w:rsidRDefault="00B05DA0" w:rsidP="003E3F83">
            <w:pPr>
              <w:kinsoku/>
              <w:overflowPunct/>
              <w:adjustRightInd/>
              <w:snapToGrid/>
              <w:spacing w:line="340" w:lineRule="exact"/>
              <w:ind w:rightChars="46" w:right="147"/>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w:t>
            </w:r>
          </w:p>
        </w:tc>
        <w:tc>
          <w:tcPr>
            <w:tcW w:w="1345" w:type="dxa"/>
            <w:tcBorders>
              <w:top w:val="single" w:sz="4" w:space="0" w:color="auto"/>
              <w:left w:val="nil"/>
              <w:bottom w:val="single" w:sz="4" w:space="0" w:color="auto"/>
              <w:right w:val="single" w:sz="4" w:space="0" w:color="auto"/>
            </w:tcBorders>
          </w:tcPr>
          <w:p w14:paraId="68450A63" w14:textId="77777777" w:rsidR="00B05DA0" w:rsidRPr="00B05DA0" w:rsidRDefault="00B05DA0" w:rsidP="003E3F83">
            <w:pPr>
              <w:kinsoku/>
              <w:overflowPunct/>
              <w:adjustRightInd/>
              <w:snapToGrid/>
              <w:spacing w:beforeLines="50" w:before="180" w:line="340" w:lineRule="exact"/>
              <w:ind w:rightChars="46" w:right="147"/>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w:t>
            </w:r>
          </w:p>
        </w:tc>
      </w:tr>
      <w:tr w:rsidR="00B05DA0" w:rsidRPr="00B05DA0" w14:paraId="709E9F70" w14:textId="77777777" w:rsidTr="007E30D7">
        <w:trPr>
          <w:trHeight w:val="203"/>
        </w:trPr>
        <w:tc>
          <w:tcPr>
            <w:tcW w:w="10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03ECE1" w14:textId="77777777" w:rsidR="00B05DA0" w:rsidRPr="00B05DA0" w:rsidRDefault="00B05DA0" w:rsidP="00B05DA0">
            <w:pPr>
              <w:kinsoku/>
              <w:overflowPunct/>
              <w:adjustRightInd/>
              <w:snapToGrid/>
              <w:spacing w:line="340" w:lineRule="exact"/>
              <w:jc w:val="center"/>
              <w:rPr>
                <w:rFonts w:ascii="標楷體" w:eastAsia="標楷體" w:hAnsi="標楷體" w:cs="DFKaiShu-SB-Estd-BF"/>
                <w:sz w:val="24"/>
                <w:szCs w:val="24"/>
              </w:rPr>
            </w:pPr>
            <w:r w:rsidRPr="00B05DA0">
              <w:rPr>
                <w:rFonts w:ascii="標楷體" w:eastAsia="標楷體" w:hAnsi="標楷體" w:cs="DFKaiShu-SB-Estd-BF" w:hint="eastAsia"/>
                <w:sz w:val="24"/>
                <w:szCs w:val="24"/>
              </w:rPr>
              <w:t>111</w:t>
            </w:r>
          </w:p>
        </w:tc>
        <w:tc>
          <w:tcPr>
            <w:tcW w:w="2060" w:type="dxa"/>
            <w:tcBorders>
              <w:top w:val="single" w:sz="4" w:space="0" w:color="auto"/>
              <w:left w:val="nil"/>
              <w:bottom w:val="single" w:sz="4" w:space="0" w:color="auto"/>
              <w:right w:val="single" w:sz="4" w:space="0" w:color="auto"/>
            </w:tcBorders>
            <w:shd w:val="clear" w:color="auto" w:fill="auto"/>
            <w:noWrap/>
          </w:tcPr>
          <w:p w14:paraId="6EA36481" w14:textId="77777777" w:rsidR="00B05DA0" w:rsidRPr="00B05DA0" w:rsidRDefault="00B05DA0" w:rsidP="003E3F83">
            <w:pPr>
              <w:kinsoku/>
              <w:overflowPunct/>
              <w:adjustRightInd/>
              <w:snapToGrid/>
              <w:spacing w:line="240" w:lineRule="auto"/>
              <w:jc w:val="right"/>
              <w:rPr>
                <w:rFonts w:ascii="標楷體" w:eastAsia="標楷體" w:hAnsi="標楷體" w:cs="DFKaiShu-SB-Estd-BF"/>
                <w:sz w:val="24"/>
                <w:szCs w:val="24"/>
              </w:rPr>
            </w:pPr>
            <w:r w:rsidRPr="00B05DA0">
              <w:rPr>
                <w:rFonts w:ascii="標楷體" w:eastAsia="標楷體" w:hAnsi="標楷體" w:cs="DFKaiShu-SB-Estd-BF"/>
                <w:sz w:val="24"/>
                <w:szCs w:val="24"/>
              </w:rPr>
              <w:t>153,406,224</w:t>
            </w:r>
          </w:p>
        </w:tc>
        <w:tc>
          <w:tcPr>
            <w:tcW w:w="1884" w:type="dxa"/>
            <w:tcBorders>
              <w:top w:val="single" w:sz="4" w:space="0" w:color="auto"/>
              <w:left w:val="nil"/>
              <w:bottom w:val="single" w:sz="4" w:space="0" w:color="auto"/>
              <w:right w:val="single" w:sz="4" w:space="0" w:color="auto"/>
            </w:tcBorders>
            <w:shd w:val="clear" w:color="auto" w:fill="auto"/>
            <w:noWrap/>
            <w:vAlign w:val="center"/>
          </w:tcPr>
          <w:p w14:paraId="0D5390DE" w14:textId="77777777" w:rsidR="00B05DA0" w:rsidRPr="00B05DA0" w:rsidRDefault="00B05DA0" w:rsidP="003E3F83">
            <w:pPr>
              <w:kinsoku/>
              <w:overflowPunct/>
              <w:adjustRightInd/>
              <w:snapToGrid/>
              <w:spacing w:line="340" w:lineRule="exact"/>
              <w:ind w:rightChars="47" w:right="150"/>
              <w:jc w:val="right"/>
              <w:rPr>
                <w:rFonts w:ascii="標楷體" w:eastAsia="標楷體" w:hAnsi="標楷體" w:cs="DFKaiShu-SB-Estd-BF"/>
                <w:sz w:val="24"/>
                <w:szCs w:val="24"/>
              </w:rPr>
            </w:pPr>
          </w:p>
        </w:tc>
        <w:tc>
          <w:tcPr>
            <w:tcW w:w="1883" w:type="dxa"/>
            <w:tcBorders>
              <w:top w:val="single" w:sz="4" w:space="0" w:color="auto"/>
              <w:left w:val="nil"/>
              <w:bottom w:val="single" w:sz="4" w:space="0" w:color="auto"/>
              <w:right w:val="single" w:sz="4" w:space="0" w:color="auto"/>
            </w:tcBorders>
            <w:shd w:val="clear" w:color="auto" w:fill="auto"/>
            <w:noWrap/>
            <w:vAlign w:val="center"/>
          </w:tcPr>
          <w:p w14:paraId="59E94C9E" w14:textId="77777777" w:rsidR="00B05DA0" w:rsidRPr="00B05DA0" w:rsidRDefault="00B05DA0" w:rsidP="003E3F83">
            <w:pPr>
              <w:kinsoku/>
              <w:overflowPunct/>
              <w:adjustRightInd/>
              <w:snapToGrid/>
              <w:spacing w:line="340" w:lineRule="exact"/>
              <w:ind w:rightChars="46" w:right="147"/>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w:t>
            </w:r>
          </w:p>
        </w:tc>
        <w:tc>
          <w:tcPr>
            <w:tcW w:w="1345" w:type="dxa"/>
            <w:tcBorders>
              <w:top w:val="single" w:sz="4" w:space="0" w:color="auto"/>
              <w:left w:val="nil"/>
              <w:bottom w:val="single" w:sz="4" w:space="0" w:color="auto"/>
              <w:right w:val="single" w:sz="4" w:space="0" w:color="auto"/>
            </w:tcBorders>
          </w:tcPr>
          <w:p w14:paraId="662D3D89" w14:textId="77777777" w:rsidR="00B05DA0" w:rsidRPr="00B05DA0" w:rsidRDefault="00B05DA0" w:rsidP="003E3F83">
            <w:pPr>
              <w:kinsoku/>
              <w:overflowPunct/>
              <w:adjustRightInd/>
              <w:snapToGrid/>
              <w:spacing w:line="340" w:lineRule="exact"/>
              <w:ind w:rightChars="46" w:right="147"/>
              <w:jc w:val="right"/>
              <w:rPr>
                <w:rFonts w:ascii="標楷體" w:eastAsia="標楷體" w:hAnsi="標楷體" w:cs="DFKaiShu-SB-Estd-BF"/>
                <w:sz w:val="24"/>
                <w:szCs w:val="24"/>
              </w:rPr>
            </w:pPr>
            <w:r w:rsidRPr="00B05DA0">
              <w:rPr>
                <w:rFonts w:ascii="標楷體" w:eastAsia="標楷體" w:hAnsi="標楷體" w:cs="DFKaiShu-SB-Estd-BF" w:hint="eastAsia"/>
                <w:sz w:val="24"/>
                <w:szCs w:val="24"/>
              </w:rPr>
              <w:t>-</w:t>
            </w:r>
          </w:p>
        </w:tc>
      </w:tr>
    </w:tbl>
    <w:p w14:paraId="10577065" w14:textId="47D7722F" w:rsidR="00B05DA0" w:rsidRPr="00B05DA0" w:rsidRDefault="00B05DA0" w:rsidP="00B05DA0">
      <w:pPr>
        <w:adjustRightInd/>
        <w:snapToGrid/>
        <w:ind w:leftChars="300" w:left="960" w:firstLineChars="203" w:firstLine="650"/>
        <w:jc w:val="both"/>
        <w:outlineLvl w:val="0"/>
        <w:rPr>
          <w:rFonts w:ascii="標楷體" w:eastAsia="標楷體" w:hAnsi="標楷體"/>
        </w:rPr>
      </w:pPr>
      <w:r w:rsidRPr="00B05DA0">
        <w:rPr>
          <w:rFonts w:ascii="標楷體" w:eastAsia="標楷體" w:hAnsi="標楷體" w:hint="eastAsia"/>
        </w:rPr>
        <w:t xml:space="preserve">　　　　　　</w:t>
      </w:r>
      <w:r w:rsidRPr="00B05DA0">
        <w:rPr>
          <w:rFonts w:ascii="Calibri" w:eastAsia="標楷體" w:hAnsi="Calibri"/>
        </w:rPr>
        <w:t>提案人：李貴敏</w:t>
      </w:r>
      <w:r w:rsidRPr="00B05DA0">
        <w:rPr>
          <w:rFonts w:ascii="標楷體" w:eastAsia="標楷體" w:hAnsi="標楷體" w:hint="eastAsia"/>
        </w:rPr>
        <w:t xml:space="preserve">　張其祿　</w:t>
      </w:r>
      <w:r w:rsidRPr="00B05DA0">
        <w:rPr>
          <w:rFonts w:ascii="Calibri" w:eastAsia="標楷體" w:hAnsi="Calibri" w:hint="eastAsia"/>
        </w:rPr>
        <w:t>林德福</w:t>
      </w:r>
      <w:r w:rsidRPr="00B05DA0">
        <w:rPr>
          <w:rFonts w:ascii="標楷體" w:eastAsia="標楷體" w:hAnsi="標楷體" w:hint="eastAsia"/>
        </w:rPr>
        <w:t xml:space="preserve">　賴士葆</w:t>
      </w:r>
    </w:p>
    <w:p w14:paraId="057F8AF7" w14:textId="2DC61DF3" w:rsidR="00B05DA0" w:rsidRPr="00B05DA0" w:rsidRDefault="00B05DA0" w:rsidP="00B05DA0">
      <w:pPr>
        <w:adjustRightInd/>
        <w:snapToGrid/>
        <w:ind w:leftChars="300" w:left="960" w:firstLineChars="190" w:firstLine="608"/>
        <w:jc w:val="both"/>
        <w:outlineLvl w:val="0"/>
        <w:rPr>
          <w:rFonts w:ascii="標楷體" w:eastAsia="標楷體" w:hAnsi="標楷體"/>
        </w:rPr>
      </w:pPr>
      <w:r w:rsidRPr="00B05DA0">
        <w:rPr>
          <w:rFonts w:ascii="標楷體" w:eastAsia="標楷體" w:hAnsi="標楷體" w:hint="eastAsia"/>
        </w:rPr>
        <w:t xml:space="preserve">　　　　　　　　　　高嘉瑜　郭國文　羅明才　</w:t>
      </w:r>
      <w:r w:rsidRPr="00B05DA0">
        <w:rPr>
          <w:rFonts w:ascii="Calibri" w:eastAsia="標楷體" w:hAnsi="Calibri"/>
        </w:rPr>
        <w:t>曾銘宗</w:t>
      </w:r>
    </w:p>
    <w:p w14:paraId="0902E905" w14:textId="48535533" w:rsidR="00B05DA0" w:rsidRPr="00304D5C" w:rsidRDefault="003E3F83" w:rsidP="00560C51">
      <w:pPr>
        <w:adjustRightInd/>
        <w:snapToGrid/>
        <w:ind w:leftChars="300" w:left="1280" w:hangingChars="100" w:hanging="320"/>
        <w:jc w:val="both"/>
        <w:outlineLvl w:val="0"/>
        <w:rPr>
          <w:rFonts w:ascii="標楷體" w:eastAsia="標楷體" w:hAnsi="標楷體"/>
        </w:rPr>
      </w:pPr>
      <w:r>
        <w:rPr>
          <w:rFonts w:ascii="標楷體" w:eastAsia="標楷體" w:hAnsi="標楷體" w:hint="eastAsia"/>
        </w:rPr>
        <w:t>2</w:t>
      </w:r>
      <w:r w:rsidR="00B05DA0" w:rsidRPr="00B05DA0">
        <w:rPr>
          <w:rFonts w:ascii="標楷體" w:eastAsia="標楷體" w:hAnsi="標楷體" w:hint="eastAsia"/>
        </w:rPr>
        <w:t>.</w:t>
      </w:r>
      <w:r w:rsidR="00B05DA0" w:rsidRPr="00304D5C">
        <w:rPr>
          <w:rFonts w:ascii="標楷體" w:eastAsia="標楷體" w:hAnsi="標楷體" w:hint="eastAsia"/>
        </w:rPr>
        <w:t>中央銀行預算案於「金融保險成本－發行硬幣費用</w:t>
      </w:r>
      <w:r w:rsidR="00304D5C" w:rsidRPr="001C5326">
        <w:rPr>
          <w:rFonts w:ascii="標楷體" w:eastAsia="標楷體" w:hAnsi="標楷體" w:hint="eastAsia"/>
        </w:rPr>
        <w:t>」</w:t>
      </w:r>
      <w:r w:rsidR="00B05DA0" w:rsidRPr="001C5326">
        <w:rPr>
          <w:rFonts w:ascii="標楷體" w:eastAsia="標楷體" w:hAnsi="標楷體" w:hint="eastAsia"/>
        </w:rPr>
        <w:t>及</w:t>
      </w:r>
      <w:r w:rsidR="00304D5C" w:rsidRPr="001C5326">
        <w:rPr>
          <w:rFonts w:ascii="標楷體" w:eastAsia="標楷體" w:hAnsi="標楷體" w:hint="eastAsia"/>
        </w:rPr>
        <w:t>「</w:t>
      </w:r>
      <w:r w:rsidR="00B05DA0" w:rsidRPr="00304D5C">
        <w:rPr>
          <w:rFonts w:ascii="標楷體" w:eastAsia="標楷體" w:hAnsi="標楷體" w:hint="eastAsia"/>
        </w:rPr>
        <w:t>金融保險成本－發行鈔券費用」項下編列「媒體政策及業務宣導費」，中央銀行表示前揭費用僅限於宣導愛惜鈔券及硬幣再流通</w:t>
      </w:r>
      <w:r w:rsidR="00304D5C" w:rsidRPr="00304D5C">
        <w:rPr>
          <w:rFonts w:ascii="標楷體" w:eastAsia="標楷體" w:hAnsi="標楷體" w:hint="eastAsia"/>
        </w:rPr>
        <w:t>(下稱「本目的」)</w:t>
      </w:r>
      <w:r w:rsidR="00B05DA0" w:rsidRPr="00304D5C">
        <w:rPr>
          <w:rFonts w:ascii="標楷體" w:eastAsia="標楷體" w:hAnsi="標楷體" w:hint="eastAsia"/>
        </w:rPr>
        <w:t>，且均覈實編列預算、名目相符，絕未化整為零。爰要求中央銀行依其前揭陳述內容確實執行，不得供作他用。</w:t>
      </w:r>
    </w:p>
    <w:p w14:paraId="4FB21CA3" w14:textId="15C953DF" w:rsidR="00B05DA0" w:rsidRPr="00B05DA0" w:rsidRDefault="00B05DA0" w:rsidP="00B05DA0">
      <w:pPr>
        <w:adjustRightInd/>
        <w:snapToGrid/>
        <w:ind w:leftChars="300" w:left="960" w:firstLineChars="190" w:firstLine="608"/>
        <w:jc w:val="both"/>
        <w:outlineLvl w:val="0"/>
        <w:rPr>
          <w:rFonts w:ascii="標楷體" w:eastAsia="標楷體" w:hAnsi="標楷體"/>
          <w:color w:val="FF0000"/>
        </w:rPr>
      </w:pPr>
      <w:r w:rsidRPr="00304D5C">
        <w:rPr>
          <w:rFonts w:ascii="標楷體" w:eastAsia="標楷體" w:hAnsi="標楷體" w:hint="eastAsia"/>
        </w:rPr>
        <w:t xml:space="preserve">　　　　　　</w:t>
      </w:r>
      <w:r w:rsidRPr="00304D5C">
        <w:rPr>
          <w:rFonts w:ascii="Calibri" w:eastAsia="標楷體" w:hAnsi="Calibri"/>
        </w:rPr>
        <w:t>提案人：李貴敏</w:t>
      </w:r>
      <w:r w:rsidRPr="00304D5C">
        <w:rPr>
          <w:rFonts w:ascii="標楷體" w:eastAsia="標楷體" w:hAnsi="標楷體" w:hint="eastAsia"/>
        </w:rPr>
        <w:t xml:space="preserve">　張其祿　</w:t>
      </w:r>
      <w:r w:rsidRPr="00304D5C">
        <w:rPr>
          <w:rFonts w:ascii="Calibri" w:eastAsia="標楷體" w:hAnsi="Calibri" w:hint="eastAsia"/>
        </w:rPr>
        <w:t>林德福</w:t>
      </w:r>
      <w:r w:rsidR="00304D5C" w:rsidRPr="00304D5C">
        <w:rPr>
          <w:rFonts w:ascii="Calibri" w:eastAsia="標楷體" w:hAnsi="Calibri" w:hint="eastAsia"/>
          <w:color w:val="FF0000"/>
        </w:rPr>
        <w:t xml:space="preserve">　</w:t>
      </w:r>
      <w:r w:rsidRPr="007935CB">
        <w:rPr>
          <w:rFonts w:ascii="Calibri" w:eastAsia="標楷體" w:hAnsi="Calibri"/>
        </w:rPr>
        <w:t>曾銘宗</w:t>
      </w:r>
    </w:p>
    <w:p w14:paraId="7F017F6A" w14:textId="7B2DAE62" w:rsidR="00B05DA0" w:rsidRPr="00B05DA0" w:rsidRDefault="003E3F83" w:rsidP="00560C51">
      <w:pPr>
        <w:adjustRightInd/>
        <w:snapToGrid/>
        <w:ind w:leftChars="300" w:left="1280" w:hangingChars="100" w:hanging="320"/>
        <w:jc w:val="both"/>
        <w:outlineLvl w:val="0"/>
      </w:pPr>
      <w:r>
        <w:rPr>
          <w:rFonts w:hint="eastAsia"/>
        </w:rPr>
        <w:t>3</w:t>
      </w:r>
      <w:r w:rsidR="00B05DA0" w:rsidRPr="00B05DA0">
        <w:rPr>
          <w:rFonts w:hint="eastAsia"/>
        </w:rPr>
        <w:t>.有鑑於我國貧富差距日漸擴大，而受到COVID-19疫情影響，雖然我國經濟成長率持續上升，網路與電腦程式相關應用與產業，不斷往上飛漲，包括遠距商務、遠距教學、遠距醫療等，而且是相對高收入的族群。另一方面，需要跟人接觸的職務，例如：服務業、觀光業，或是低階勞工行業，經濟狀況一路下滑。綜上，就產生了生產強、消費弱；金融資產強、實體經濟弱；高科技強、傳產弱；大企業強、小微企業弱</w:t>
      </w:r>
      <w:r w:rsidR="00B05DA0" w:rsidRPr="00B05DA0">
        <w:rPr>
          <w:rFonts w:hint="eastAsia"/>
        </w:rPr>
        <w:lastRenderedPageBreak/>
        <w:t>的「K型復甦」現象。有鑑於此，要求中央銀行研擬以自身政策或貨幣工具改善K型復甦所帶來的貧富差距擴大之問題，並於3個月內向立法院財政委員會提出書面報告。</w:t>
      </w:r>
    </w:p>
    <w:p w14:paraId="7781FC6A"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 xml:space="preserve">提案人：張其祿　李貴敏　賴士葆　</w:t>
      </w:r>
    </w:p>
    <w:p w14:paraId="50BD78E6" w14:textId="08D067D2" w:rsidR="00B05DA0" w:rsidRPr="00B05DA0" w:rsidRDefault="003E3F83" w:rsidP="00560C51">
      <w:pPr>
        <w:adjustRightInd/>
        <w:snapToGrid/>
        <w:ind w:leftChars="300" w:left="1280" w:hangingChars="100" w:hanging="320"/>
        <w:jc w:val="both"/>
        <w:outlineLvl w:val="0"/>
      </w:pPr>
      <w:r>
        <w:rPr>
          <w:rFonts w:hint="eastAsia"/>
        </w:rPr>
        <w:t>4</w:t>
      </w:r>
      <w:r w:rsidR="00B05DA0" w:rsidRPr="00B05DA0">
        <w:rPr>
          <w:rFonts w:hint="eastAsia"/>
        </w:rPr>
        <w:t>.依中央政府總決算審核報告指出，中央銀行因108及109年度美元兌新臺幣持續貶值，外幣資產發生匯兌評價損失分別為4,878億4,758萬餘元及7,971億9,172萬餘元，經與科目沖抵後，不足沖抵數帳列「遞延兌換差價損失」計198億1,558萬餘元及7,213億0</w:t>
      </w:r>
      <w:r w:rsidR="00B05DA0" w:rsidRPr="00B05DA0">
        <w:t>,</w:t>
      </w:r>
      <w:r w:rsidR="00B05DA0" w:rsidRPr="00B05DA0">
        <w:rPr>
          <w:rFonts w:hint="eastAsia"/>
        </w:rPr>
        <w:t>581萬餘元，遞延認列之匯兌評價損失大幅增加，且109年底遞延兌換差價損失達保留盈餘1兆0</w:t>
      </w:r>
      <w:r w:rsidR="00B05DA0" w:rsidRPr="00B05DA0">
        <w:t>,</w:t>
      </w:r>
      <w:r w:rsidR="00B05DA0" w:rsidRPr="00B05DA0">
        <w:rPr>
          <w:rFonts w:hint="eastAsia"/>
        </w:rPr>
        <w:t>593億餘元之68.09%，潛藏鉅額損失之財務風險，鑑於全球受嚴重特殊傳染性肺炎疫情影響，美國聯邦準備理事會、歐洲中央銀行、日本中央銀行等國際主要央行持續採行寬鬆貨幣政策，除保持低水準政策利率外，並大量購買有價證券，增加貨幣市場供給，加以我國經濟表現良好，致新臺幣持續升值，恐有擴大匯兌損失之風險，爰要求中央銀行研謀相關機制，以強化匯率波動之風險承擔能力，促進財務穩健及金融穩定，並於3個月內向立法院財政委員會提出</w:t>
      </w:r>
      <w:r w:rsidR="00B05DA0" w:rsidRPr="007935CB">
        <w:rPr>
          <w:rFonts w:hint="eastAsia"/>
        </w:rPr>
        <w:t>書面</w:t>
      </w:r>
      <w:r w:rsidR="00B05DA0" w:rsidRPr="00B05DA0">
        <w:rPr>
          <w:rFonts w:hint="eastAsia"/>
        </w:rPr>
        <w:t>報告。</w:t>
      </w:r>
    </w:p>
    <w:p w14:paraId="0FD3FC47" w14:textId="6BA0E2B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提案人：賴士葆</w:t>
      </w:r>
      <w:r w:rsidRPr="00B05DA0">
        <w:rPr>
          <w:rFonts w:ascii="標楷體" w:eastAsia="標楷體" w:hAnsi="標楷體" w:hint="eastAsia"/>
          <w:b/>
        </w:rPr>
        <w:t xml:space="preserve">　</w:t>
      </w:r>
      <w:r w:rsidRPr="00B05DA0">
        <w:rPr>
          <w:rFonts w:ascii="標楷體" w:eastAsia="標楷體" w:hAnsi="標楷體" w:hint="eastAsia"/>
        </w:rPr>
        <w:t>張其祿　林德福　羅明才</w:t>
      </w:r>
    </w:p>
    <w:p w14:paraId="5281F8C6" w14:textId="4E3B533F"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 xml:space="preserve">　曾銘宗　</w:t>
      </w:r>
    </w:p>
    <w:p w14:paraId="5F319A9F" w14:textId="1B1E0292" w:rsidR="00B05DA0" w:rsidRPr="00B05DA0" w:rsidRDefault="003E3F83" w:rsidP="00560C51">
      <w:pPr>
        <w:adjustRightInd/>
        <w:snapToGrid/>
        <w:ind w:leftChars="300" w:left="1280" w:hangingChars="100" w:hanging="320"/>
        <w:jc w:val="both"/>
        <w:outlineLvl w:val="0"/>
      </w:pPr>
      <w:r>
        <w:rPr>
          <w:rFonts w:hint="eastAsia"/>
        </w:rPr>
        <w:t>5</w:t>
      </w:r>
      <w:r w:rsidR="00B05DA0" w:rsidRPr="00B05DA0">
        <w:rPr>
          <w:rFonts w:hint="eastAsia"/>
        </w:rPr>
        <w:t>.COVID-19自109年初迅速擴散，各國採行寬鬆貨幣政策及擴大財政支出，依立法院預算中心111年度中央政府總預算案整體評估報告指出，截至110年第2季止，主要經濟體仍維持寬鬆性貨幣政策，惟此時國際上亦面臨原物料供給短缺，進而推升全球大宗商品價格，通膨壓力逐漸增加。觀察國內狀況，因面臨國際原油、石化等原物料價格上漲，亦推升國內進口及國產內銷品物價，依行政院主計總處統計資料，至</w:t>
      </w:r>
      <w:r w:rsidR="00B05DA0" w:rsidRPr="00B05DA0">
        <w:rPr>
          <w:rFonts w:hint="eastAsia"/>
        </w:rPr>
        <w:lastRenderedPageBreak/>
        <w:t>110年8月份消費者物價指數及核心CPI之年增率分別</w:t>
      </w:r>
      <w:r w:rsidR="00B05DA0" w:rsidRPr="00B05DA0">
        <w:rPr>
          <w:rFonts w:hint="eastAsia"/>
          <w:color w:val="323E4F" w:themeColor="text2" w:themeShade="BF"/>
        </w:rPr>
        <w:t>為</w:t>
      </w:r>
      <w:r w:rsidR="00B05DA0" w:rsidRPr="00B05DA0">
        <w:rPr>
          <w:rFonts w:hint="eastAsia"/>
        </w:rPr>
        <w:t>2.36%及1.33%</w:t>
      </w:r>
      <w:r w:rsidR="00B05DA0" w:rsidRPr="00B05DA0">
        <w:rPr>
          <w:rFonts w:hint="eastAsia"/>
          <w:color w:val="323E4F" w:themeColor="text2" w:themeShade="BF"/>
        </w:rPr>
        <w:t>，</w:t>
      </w:r>
      <w:r w:rsidR="00B05DA0" w:rsidRPr="00B05DA0">
        <w:rPr>
          <w:rFonts w:hint="eastAsia"/>
        </w:rPr>
        <w:t>我國屬小型開放經濟體，須謹慎因應輸入型通膨之壓力，爰要求中央銀行持續觀察並妥為因應，並於3個月內向立法院財政委員會提出</w:t>
      </w:r>
      <w:r w:rsidR="00B05DA0" w:rsidRPr="007935CB">
        <w:rPr>
          <w:rFonts w:hint="eastAsia"/>
        </w:rPr>
        <w:t>書面</w:t>
      </w:r>
      <w:r w:rsidR="00B05DA0" w:rsidRPr="00B05DA0">
        <w:rPr>
          <w:rFonts w:hint="eastAsia"/>
        </w:rPr>
        <w:t>報告。</w:t>
      </w:r>
    </w:p>
    <w:p w14:paraId="0D05A5AC" w14:textId="77777777" w:rsidR="00B05DA0" w:rsidRPr="00B05DA0" w:rsidRDefault="00B05DA0" w:rsidP="00B05DA0">
      <w:pPr>
        <w:adjustRightInd/>
        <w:snapToGrid/>
        <w:ind w:leftChars="300" w:left="960" w:firstLineChars="190" w:firstLine="609"/>
        <w:jc w:val="both"/>
        <w:outlineLvl w:val="0"/>
        <w:rPr>
          <w:rFonts w:ascii="標楷體" w:eastAsia="標楷體" w:hAnsi="標楷體"/>
          <w:color w:val="000000" w:themeColor="text1"/>
        </w:rPr>
      </w:pPr>
      <w:r w:rsidRPr="00B05DA0">
        <w:rPr>
          <w:rFonts w:ascii="標楷體" w:eastAsia="標楷體" w:hAnsi="標楷體" w:hint="eastAsia"/>
          <w:b/>
        </w:rPr>
        <w:t xml:space="preserve">　　　　　　</w:t>
      </w:r>
      <w:r w:rsidRPr="00B05DA0">
        <w:rPr>
          <w:rFonts w:ascii="標楷體" w:eastAsia="標楷體" w:hAnsi="標楷體" w:hint="eastAsia"/>
          <w:color w:val="000000" w:themeColor="text1"/>
        </w:rPr>
        <w:t>提案人：賴士葆</w:t>
      </w:r>
      <w:r w:rsidRPr="00B05DA0">
        <w:rPr>
          <w:rFonts w:ascii="標楷體" w:eastAsia="標楷體" w:hAnsi="標楷體" w:hint="eastAsia"/>
          <w:b/>
        </w:rPr>
        <w:t xml:space="preserve">　</w:t>
      </w:r>
      <w:r w:rsidRPr="00B05DA0">
        <w:rPr>
          <w:rFonts w:ascii="標楷體" w:eastAsia="標楷體" w:hAnsi="標楷體" w:hint="eastAsia"/>
          <w:color w:val="000000" w:themeColor="text1"/>
        </w:rPr>
        <w:t xml:space="preserve">張其祿　林德福　</w:t>
      </w:r>
      <w:r w:rsidRPr="00B05DA0">
        <w:rPr>
          <w:rFonts w:ascii="標楷體" w:eastAsia="標楷體" w:hAnsi="標楷體" w:hint="eastAsia"/>
        </w:rPr>
        <w:t>羅明才</w:t>
      </w:r>
      <w:r w:rsidRPr="00B05DA0">
        <w:rPr>
          <w:rFonts w:ascii="標楷體" w:eastAsia="標楷體" w:hAnsi="標楷體" w:hint="eastAsia"/>
          <w:color w:val="000000" w:themeColor="text1"/>
        </w:rPr>
        <w:t xml:space="preserve">　</w:t>
      </w:r>
    </w:p>
    <w:p w14:paraId="2CB17E25"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color w:val="000000" w:themeColor="text1"/>
        </w:rPr>
        <w:t>曾銘宗</w:t>
      </w:r>
    </w:p>
    <w:p w14:paraId="30410FEF" w14:textId="40F25A83" w:rsidR="00B05DA0" w:rsidRPr="00B05DA0" w:rsidRDefault="003E3F83" w:rsidP="00560C51">
      <w:pPr>
        <w:adjustRightInd/>
        <w:snapToGrid/>
        <w:ind w:leftChars="300" w:left="1280" w:hangingChars="100" w:hanging="320"/>
        <w:jc w:val="both"/>
        <w:outlineLvl w:val="0"/>
      </w:pPr>
      <w:r>
        <w:rPr>
          <w:rFonts w:hint="eastAsia"/>
        </w:rPr>
        <w:t>6</w:t>
      </w:r>
      <w:r w:rsidR="00B05DA0" w:rsidRPr="00B05DA0">
        <w:rPr>
          <w:rFonts w:hint="eastAsia"/>
        </w:rPr>
        <w:t>.嚴重特殊傳染性肺炎(COVID-19)疫情自109年初迅速擴散，衝擊全球供應鏈運作，削弱國際貿易與消費需求動能，影響實質經濟活動，引發全球金融市場劇烈波動。為此，主要經濟體紛紛採行寬鬆貨幣政策，並推出擴張性財政政策，以激勵經濟成長。中央銀行自109年3月調降政策利率後，截至110年12月召開之理監事聯席會議仍決議維持政策利率不變，然值此同時，國內外經濟情勢雖已緩步復甦，惟亦帶動全球通膨升溫。</w:t>
      </w:r>
      <w:r w:rsidR="00B05DA0" w:rsidRPr="00B05DA0">
        <w:rPr>
          <w:rFonts w:hint="eastAsia"/>
          <w:color w:val="323E4F" w:themeColor="text2" w:themeShade="BF"/>
        </w:rPr>
        <w:t>爰此，中央銀行應持</w:t>
      </w:r>
      <w:r w:rsidR="00B05DA0" w:rsidRPr="00B05DA0">
        <w:rPr>
          <w:rFonts w:hint="eastAsia"/>
        </w:rPr>
        <w:t>續關注通膨走勢，妥適調整貨幣政策，並於1個月內研擬對抗通膨之貨幣政策向立法院財政委員會提出</w:t>
      </w:r>
      <w:r w:rsidR="00B05DA0" w:rsidRPr="007935CB">
        <w:rPr>
          <w:rFonts w:hint="eastAsia"/>
        </w:rPr>
        <w:t>書面</w:t>
      </w:r>
      <w:r w:rsidR="00B05DA0" w:rsidRPr="00B05DA0">
        <w:rPr>
          <w:rFonts w:hint="eastAsia"/>
        </w:rPr>
        <w:t>報告。</w:t>
      </w:r>
    </w:p>
    <w:p w14:paraId="4B0D0A08" w14:textId="77777777" w:rsidR="00B05DA0" w:rsidRPr="00B05DA0" w:rsidRDefault="00B05DA0" w:rsidP="00B05DA0">
      <w:pPr>
        <w:adjustRightInd/>
        <w:snapToGrid/>
        <w:ind w:leftChars="300" w:left="960" w:firstLineChars="190" w:firstLine="609"/>
        <w:jc w:val="both"/>
        <w:outlineLvl w:val="0"/>
        <w:rPr>
          <w:rFonts w:ascii="標楷體" w:eastAsia="標楷體" w:hAnsi="標楷體"/>
          <w:color w:val="000000" w:themeColor="text1"/>
        </w:rPr>
      </w:pPr>
      <w:r w:rsidRPr="00B05DA0">
        <w:rPr>
          <w:rFonts w:ascii="標楷體" w:eastAsia="標楷體" w:hAnsi="標楷體" w:hint="eastAsia"/>
          <w:b/>
        </w:rPr>
        <w:t xml:space="preserve">　　　　　　</w:t>
      </w:r>
      <w:r w:rsidRPr="00B05DA0">
        <w:rPr>
          <w:rFonts w:ascii="標楷體" w:eastAsia="標楷體" w:hAnsi="標楷體" w:hint="eastAsia"/>
          <w:color w:val="000000" w:themeColor="text1"/>
        </w:rPr>
        <w:t xml:space="preserve">提案人：李貴敏　張其祿　林德福　曾銘宗　</w:t>
      </w:r>
    </w:p>
    <w:p w14:paraId="4E46B650" w14:textId="2D72A35F" w:rsidR="00B05DA0" w:rsidRPr="00B05DA0" w:rsidRDefault="003E3F83" w:rsidP="00560C51">
      <w:pPr>
        <w:adjustRightInd/>
        <w:snapToGrid/>
        <w:ind w:leftChars="300" w:left="1280" w:hangingChars="100" w:hanging="320"/>
        <w:jc w:val="both"/>
        <w:outlineLvl w:val="0"/>
      </w:pPr>
      <w:r>
        <w:rPr>
          <w:rFonts w:hint="eastAsia"/>
        </w:rPr>
        <w:t>7</w:t>
      </w:r>
      <w:r w:rsidR="00B05DA0" w:rsidRPr="00B05DA0">
        <w:rPr>
          <w:rFonts w:hint="eastAsia"/>
        </w:rPr>
        <w:t>.據美國財政部2021年12月提出之外匯政策報告指出，台灣仍符合匯率操縱國之3項標準，雖該報告認為尚無足夠證據判斷我國有「獲取不公平貿易競爭優勢或影響國際收支有效調節」之意圖，爰未列入匯率操縱國，惟未來雙方仍將續就匯率議題進行密切磋商。雖然中央銀行已與美國財政部定期就雙邊經貿及匯率議題交換意見，並提供「台美經貿關係與新臺幣匯率走勢」報告，說明我國係受美國寬鬆貨幣政策影響，為維持國內金融穩定，避免匯市供需嚴重失衡，爰加強調節匯市。又因台灣與美國存在緊密且互利的雙邊貿易關係，並為科技供應鏈的重要夥伴，據財政部關務署統計資料，109年度我國對美國出口額占出口總額約14.6%，為第三大</w:t>
      </w:r>
      <w:r w:rsidR="00B05DA0" w:rsidRPr="00B05DA0">
        <w:rPr>
          <w:rFonts w:hint="eastAsia"/>
        </w:rPr>
        <w:lastRenderedPageBreak/>
        <w:t>出口市場，對我國經濟及貿易影響重大。爰要求中央銀行針對台美及國際</w:t>
      </w:r>
      <w:r w:rsidR="00B05DA0" w:rsidRPr="00BC5A94">
        <w:rPr>
          <w:rFonts w:hint="eastAsia"/>
        </w:rPr>
        <w:t>經貿情勢變動</w:t>
      </w:r>
      <w:r w:rsidR="00B05DA0" w:rsidRPr="00B05DA0">
        <w:rPr>
          <w:rFonts w:hint="eastAsia"/>
        </w:rPr>
        <w:t>，一方面避免陷入台美貿易紛爭，另方面兼顧國內金融穩定及維護國際貿易競爭力，於2個月內向立法院財政委員會提出因應措施之書面報告。</w:t>
      </w:r>
    </w:p>
    <w:p w14:paraId="09CCFA00" w14:textId="77777777" w:rsidR="00B05DA0" w:rsidRPr="00B05DA0" w:rsidRDefault="00B05DA0" w:rsidP="00B05DA0">
      <w:pPr>
        <w:adjustRightInd/>
        <w:snapToGrid/>
        <w:ind w:leftChars="300" w:left="960" w:firstLineChars="190" w:firstLine="609"/>
        <w:jc w:val="both"/>
        <w:outlineLvl w:val="0"/>
        <w:rPr>
          <w:rFonts w:ascii="標楷體" w:eastAsia="標楷體" w:hAnsi="標楷體"/>
          <w:color w:val="000000" w:themeColor="text1"/>
        </w:rPr>
      </w:pPr>
      <w:r w:rsidRPr="00B05DA0">
        <w:rPr>
          <w:rFonts w:ascii="標楷體" w:eastAsia="標楷體" w:hAnsi="標楷體" w:hint="eastAsia"/>
          <w:b/>
        </w:rPr>
        <w:t xml:space="preserve">　　　　　　</w:t>
      </w:r>
      <w:r w:rsidRPr="00B05DA0">
        <w:rPr>
          <w:rFonts w:ascii="標楷體" w:eastAsia="標楷體" w:hAnsi="標楷體" w:hint="eastAsia"/>
          <w:color w:val="000000" w:themeColor="text1"/>
        </w:rPr>
        <w:t xml:space="preserve">提案人：沈發惠　</w:t>
      </w:r>
    </w:p>
    <w:p w14:paraId="179F8ACC" w14:textId="77777777" w:rsidR="00B05DA0" w:rsidRPr="00B05DA0" w:rsidRDefault="00B05DA0" w:rsidP="00B05DA0">
      <w:pPr>
        <w:adjustRightInd/>
        <w:snapToGrid/>
        <w:ind w:leftChars="300" w:left="960" w:firstLineChars="190" w:firstLine="609"/>
        <w:jc w:val="both"/>
        <w:outlineLvl w:val="0"/>
        <w:rPr>
          <w:rFonts w:ascii="標楷體" w:eastAsia="標楷體" w:hAnsi="標楷體"/>
          <w:color w:val="000000" w:themeColor="text1"/>
        </w:rPr>
      </w:pPr>
      <w:r w:rsidRPr="00B05DA0">
        <w:rPr>
          <w:rFonts w:ascii="標楷體" w:eastAsia="標楷體" w:hAnsi="標楷體" w:hint="eastAsia"/>
          <w:b/>
        </w:rPr>
        <w:t xml:space="preserve">　　　　　　</w:t>
      </w:r>
      <w:r w:rsidRPr="00B05DA0">
        <w:rPr>
          <w:rFonts w:ascii="標楷體" w:eastAsia="標楷體" w:hAnsi="標楷體" w:hint="eastAsia"/>
        </w:rPr>
        <w:t>連署人</w:t>
      </w:r>
      <w:r w:rsidRPr="00B05DA0">
        <w:rPr>
          <w:rFonts w:ascii="標楷體" w:eastAsia="標楷體" w:hAnsi="標楷體" w:hint="eastAsia"/>
          <w:color w:val="000000" w:themeColor="text1"/>
        </w:rPr>
        <w:t xml:space="preserve">：林楚茵　鍾佳濱　</w:t>
      </w:r>
    </w:p>
    <w:p w14:paraId="5E9C81CF" w14:textId="6E06ACA9" w:rsidR="00B05DA0" w:rsidRPr="00B05DA0" w:rsidRDefault="003E3F83" w:rsidP="00560C51">
      <w:pPr>
        <w:adjustRightInd/>
        <w:snapToGrid/>
        <w:ind w:leftChars="300" w:left="1280" w:hangingChars="100" w:hanging="320"/>
        <w:jc w:val="both"/>
        <w:outlineLvl w:val="0"/>
      </w:pPr>
      <w:r>
        <w:rPr>
          <w:rFonts w:hint="eastAsia"/>
        </w:rPr>
        <w:t>8</w:t>
      </w:r>
      <w:r w:rsidR="00B05DA0" w:rsidRPr="00B05DA0">
        <w:rPr>
          <w:rFonts w:hint="eastAsia"/>
        </w:rPr>
        <w:t>.各國受嚴重特殊傳染性肺炎疫情蔓延全球影響，為有效控制疫情發展及減緩對經濟造成之衝擊，除實施封閉式管理外，並紛紛採行量化貨幣寬鬆政策或擴大財政支出，期刺激經濟成長，依中央政府總決算審核報告指出，國際金融協會於2021年2月17日之報告，2020年全球債務規模創新高增至281兆美元，相當於全球GDP之355%以上，較2019年增加約35個百分點，幅度超出2008至2009年全球金融危機期間之10%至15%間，並於2020年11月18日警告全球債務之攀升，全球經濟未來很難在不對經濟活動產生重大影響之情況下去槓桿化。鑑於我國為小型開放經濟體勢必受全球經濟整體影響，爰要求中央銀行持續關注疫情發展及主要經濟體貨幣政策對國內經濟之影響，並適時採行妥適措施，以維經濟穩健發展，並於3個月內向立法院財政委員會提出</w:t>
      </w:r>
      <w:r w:rsidR="00B05DA0" w:rsidRPr="003F4D66">
        <w:rPr>
          <w:rFonts w:hint="eastAsia"/>
        </w:rPr>
        <w:t>書面</w:t>
      </w:r>
      <w:r w:rsidR="00B05DA0" w:rsidRPr="00B05DA0">
        <w:rPr>
          <w:rFonts w:hint="eastAsia"/>
        </w:rPr>
        <w:t>報告。</w:t>
      </w:r>
    </w:p>
    <w:p w14:paraId="352CC9E7"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 xml:space="preserve">提案人：賴士葆　張其祿　林德福　曾銘宗　</w:t>
      </w:r>
    </w:p>
    <w:p w14:paraId="124A6562" w14:textId="7043A6C6" w:rsidR="00B05DA0" w:rsidRPr="00B05DA0" w:rsidRDefault="003E3F83" w:rsidP="00560C51">
      <w:pPr>
        <w:adjustRightInd/>
        <w:snapToGrid/>
        <w:ind w:leftChars="300" w:left="1280" w:hangingChars="100" w:hanging="320"/>
        <w:jc w:val="both"/>
        <w:outlineLvl w:val="0"/>
      </w:pPr>
      <w:r>
        <w:rPr>
          <w:rFonts w:hint="eastAsia"/>
        </w:rPr>
        <w:t>9</w:t>
      </w:r>
      <w:r w:rsidR="00B05DA0" w:rsidRPr="00B05DA0">
        <w:rPr>
          <w:rFonts w:hint="eastAsia"/>
        </w:rPr>
        <w:t>.中央銀行於110年12月16日之理事會決議利率政策連七季不調整，楊金龍總裁並表示「111年將朝緊縮方向」調整。然近期嚴重特殊傳染性肺炎（COVID-19）Omicron變異株所帶來之疫情，對歐美國家帶來重大影響，英國、澳洲等國央行也將延後升息。雖我國疫情平緩，但物價因全球普遍量化寬鬆有上漲跡象，利率政策有必要因疫情波動。爰請中央銀行對於新一波疫情對全球經濟之影響及應對利率政策，於1個月內向立法院財政委員會提出書面報告。</w:t>
      </w:r>
    </w:p>
    <w:p w14:paraId="4B20187F"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lastRenderedPageBreak/>
        <w:t xml:space="preserve">　　　　　　</w:t>
      </w:r>
      <w:r w:rsidRPr="00B05DA0">
        <w:rPr>
          <w:rFonts w:ascii="標楷體" w:eastAsia="標楷體" w:hAnsi="標楷體" w:hint="eastAsia"/>
        </w:rPr>
        <w:t xml:space="preserve">提案人：林楚茵　沈發惠　郭國文　</w:t>
      </w:r>
    </w:p>
    <w:p w14:paraId="2958AD4F" w14:textId="536C2B14" w:rsidR="00B05DA0" w:rsidRPr="00B05DA0" w:rsidRDefault="003E3F83" w:rsidP="00E02C89">
      <w:pPr>
        <w:adjustRightInd/>
        <w:snapToGrid/>
        <w:ind w:leftChars="300" w:left="1440" w:hangingChars="150" w:hanging="480"/>
        <w:jc w:val="both"/>
        <w:outlineLvl w:val="0"/>
      </w:pPr>
      <w:r>
        <w:rPr>
          <w:rFonts w:hint="eastAsia"/>
        </w:rPr>
        <w:t>10</w:t>
      </w:r>
      <w:r w:rsidR="00B05DA0" w:rsidRPr="00B05DA0">
        <w:rPr>
          <w:rFonts w:hint="eastAsia"/>
        </w:rPr>
        <w:t>.中央銀行目前持續推動中央銀行數位貨幣「通用型CBDC試驗計畫」，並協助推展金融科技於支付領域之應用。楊總裁亦曾於110年9月之貨幣數位化學術研討會演說中，表示CBDC之測試將於111年9月完成。然CBDC之推行，除將大幅改變我國金融科技、支付技術發展，以及民眾生活習慣外，亦將對於實體鈔幣發行產生重大影響。爰請中央銀行對於CBDC推動後對實體鈔幣發行之影響，以及相關業務之調整對策，於2個月內向立法院財政委員會提出書面報告。</w:t>
      </w:r>
    </w:p>
    <w:p w14:paraId="49FD7C20"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 xml:space="preserve">提案人：林楚茵　沈發惠　郭國文　</w:t>
      </w:r>
    </w:p>
    <w:p w14:paraId="1C8FBBF5" w14:textId="213FD908" w:rsidR="00B05DA0" w:rsidRPr="00B05DA0" w:rsidRDefault="00B05DA0" w:rsidP="00E02C89">
      <w:pPr>
        <w:adjustRightInd/>
        <w:snapToGrid/>
        <w:ind w:leftChars="300" w:left="1440" w:hangingChars="150" w:hanging="480"/>
        <w:jc w:val="both"/>
        <w:outlineLvl w:val="0"/>
      </w:pPr>
      <w:r w:rsidRPr="00B05DA0">
        <w:rPr>
          <w:rFonts w:hint="eastAsia"/>
        </w:rPr>
        <w:t>1</w:t>
      </w:r>
      <w:r w:rsidR="003E3F83">
        <w:t>1</w:t>
      </w:r>
      <w:r w:rsidRPr="00B05DA0">
        <w:rPr>
          <w:rFonts w:hint="eastAsia"/>
        </w:rPr>
        <w:t>.有鑑於COVID-19疫情加速各國數位貨幣發行，目前雖在謹慎處理階段，不急於短時間內發行，但全球約80%國家已投入研究，中央銀行推動新台幣數位化已進入第二階段試驗，預計111年完成，由於中央銀行發行的數位貨幣（CBDC）是法償貨幣，等同實體現金，</w:t>
      </w:r>
      <w:r w:rsidR="00BC5A94">
        <w:rPr>
          <w:rFonts w:hint="eastAsia"/>
        </w:rPr>
        <w:t>進</w:t>
      </w:r>
      <w:r w:rsidRPr="00B05DA0">
        <w:rPr>
          <w:rFonts w:hint="eastAsia"/>
        </w:rPr>
        <w:t>而影響鈔券硬幣的發行及使用量。爰要求中央銀行研究分析國內數位貨幣發行後，對中央印製廠及</w:t>
      </w:r>
      <w:r w:rsidR="00BC5A94">
        <w:rPr>
          <w:rFonts w:hint="eastAsia"/>
        </w:rPr>
        <w:t>中央</w:t>
      </w:r>
      <w:r w:rsidRPr="00B05DA0">
        <w:rPr>
          <w:rFonts w:hint="eastAsia"/>
        </w:rPr>
        <w:t>造幣廠永續經營影響，並妥適規劃未來走向轉型及因應方式，於3個月內向立法院財政委員會提出書面報告。</w:t>
      </w:r>
    </w:p>
    <w:p w14:paraId="512A61CC"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 xml:space="preserve">提案人：賴士葆　羅明才　張其祿　</w:t>
      </w:r>
    </w:p>
    <w:p w14:paraId="61F6A700" w14:textId="1540FC1C" w:rsidR="00B05DA0" w:rsidRPr="00B05DA0" w:rsidRDefault="00B05DA0" w:rsidP="00E02C89">
      <w:pPr>
        <w:adjustRightInd/>
        <w:snapToGrid/>
        <w:ind w:leftChars="300" w:left="1440" w:hangingChars="150" w:hanging="480"/>
        <w:jc w:val="both"/>
        <w:outlineLvl w:val="0"/>
      </w:pPr>
      <w:r w:rsidRPr="00B05DA0">
        <w:rPr>
          <w:rFonts w:hint="eastAsia"/>
        </w:rPr>
        <w:t>1</w:t>
      </w:r>
      <w:r w:rsidR="003E3F83">
        <w:t>2</w:t>
      </w:r>
      <w:r w:rsidRPr="00B05DA0">
        <w:rPr>
          <w:rFonts w:hint="eastAsia"/>
        </w:rPr>
        <w:t>.國際間虛擬通貨之運用已越來越廣泛，而近期興起之NFT( Non-Fungible Token )之交易也常以虛擬通貨(同質化代幣)作為交易，針對目前現行法規上僅具備洗錢防制之管制，對於國外交易所進行之交易並無法有效管制，對於洗錢防制之效力恐非常有限。鑑此，請中央銀行針對「虛擬通貨之管制方式」為題，於2個月內向立法院財政委員會提出書面報告，以釋大眾之疑義。</w:t>
      </w:r>
    </w:p>
    <w:p w14:paraId="4E718750" w14:textId="77777777" w:rsidR="00B05DA0" w:rsidRPr="00B05DA0" w:rsidRDefault="00B05DA0" w:rsidP="00B05DA0">
      <w:pPr>
        <w:adjustRightInd/>
        <w:snapToGrid/>
        <w:ind w:leftChars="300" w:left="960" w:firstLineChars="190" w:firstLine="609"/>
        <w:jc w:val="both"/>
        <w:outlineLvl w:val="0"/>
      </w:pPr>
      <w:r w:rsidRPr="00B05DA0">
        <w:rPr>
          <w:rFonts w:ascii="標楷體" w:eastAsia="標楷體" w:hAnsi="標楷體" w:hint="eastAsia"/>
          <w:b/>
        </w:rPr>
        <w:t xml:space="preserve">　　　　　　</w:t>
      </w:r>
      <w:r w:rsidRPr="00B05DA0">
        <w:rPr>
          <w:rFonts w:ascii="標楷體" w:eastAsia="標楷體" w:hAnsi="標楷體" w:hint="eastAsia"/>
        </w:rPr>
        <w:t xml:space="preserve">提案人：高嘉瑜　</w:t>
      </w:r>
    </w:p>
    <w:p w14:paraId="7460D982"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lastRenderedPageBreak/>
        <w:t xml:space="preserve">　　　　　　</w:t>
      </w:r>
      <w:r w:rsidRPr="00B05DA0">
        <w:rPr>
          <w:rFonts w:ascii="標楷體" w:eastAsia="標楷體" w:hAnsi="標楷體" w:hint="eastAsia"/>
        </w:rPr>
        <w:t xml:space="preserve">連署人：張其祿　郭國文　</w:t>
      </w:r>
    </w:p>
    <w:p w14:paraId="42853B13" w14:textId="1A670DEA" w:rsidR="00B05DA0" w:rsidRPr="00B05DA0" w:rsidRDefault="00B05DA0" w:rsidP="00E02C89">
      <w:pPr>
        <w:adjustRightInd/>
        <w:snapToGrid/>
        <w:ind w:leftChars="300" w:left="1440" w:hangingChars="150" w:hanging="480"/>
        <w:jc w:val="both"/>
        <w:outlineLvl w:val="0"/>
      </w:pPr>
      <w:r w:rsidRPr="00B05DA0">
        <w:rPr>
          <w:rFonts w:hint="eastAsia"/>
        </w:rPr>
        <w:t>1</w:t>
      </w:r>
      <w:r w:rsidR="003E3F83">
        <w:t>3</w:t>
      </w:r>
      <w:r w:rsidRPr="00B05DA0">
        <w:rPr>
          <w:rFonts w:hint="eastAsia"/>
        </w:rPr>
        <w:t>.經查，111年度中央印製廠之業務計畫中，新年度之鈔券生產目標中，面額僅有壹仟元、伍佰元及壹佰元券，卻無目前仍在市場上流通之貳仟元及貳佰元鈔券。然而，貳仟元及貳佰元鈔券之流通性提升，有助於支付上的靈活，亦能減少紙張之使用。爰請中央銀行針對貳仟元及貳佰元鈔券之發行、流通及推廣對策，於1個月內向立法院財政委員會提出書面報告。</w:t>
      </w:r>
    </w:p>
    <w:p w14:paraId="0C3822A5" w14:textId="77777777" w:rsidR="00B05DA0" w:rsidRPr="00B05DA0" w:rsidRDefault="00B05DA0" w:rsidP="00B05DA0">
      <w:pPr>
        <w:adjustRightInd/>
        <w:snapToGrid/>
        <w:ind w:leftChars="300" w:left="960" w:firstLineChars="190" w:firstLine="608"/>
        <w:jc w:val="both"/>
        <w:outlineLvl w:val="0"/>
      </w:pPr>
      <w:r w:rsidRPr="00B05DA0">
        <w:rPr>
          <w:rFonts w:hint="eastAsia"/>
        </w:rPr>
        <w:t xml:space="preserve">　　　　　　提案人：林楚茵　沈發惠　郭國文　</w:t>
      </w:r>
    </w:p>
    <w:p w14:paraId="6095C624" w14:textId="62C130B8" w:rsidR="00B05DA0" w:rsidRPr="00B05DA0" w:rsidRDefault="00B05DA0" w:rsidP="00E02C89">
      <w:pPr>
        <w:adjustRightInd/>
        <w:snapToGrid/>
        <w:ind w:leftChars="300" w:left="1440" w:hangingChars="150" w:hanging="480"/>
        <w:jc w:val="both"/>
        <w:outlineLvl w:val="0"/>
      </w:pPr>
      <w:r w:rsidRPr="00B05DA0">
        <w:rPr>
          <w:rFonts w:hint="eastAsia"/>
        </w:rPr>
        <w:t>1</w:t>
      </w:r>
      <w:r w:rsidR="003E3F83">
        <w:t>4</w:t>
      </w:r>
      <w:r w:rsidRPr="00B05DA0">
        <w:rPr>
          <w:rFonts w:hint="eastAsia"/>
        </w:rPr>
        <w:t>.111年度中央銀行損益表「營業成本-金融保險成本」科目項下編列「發行鈔券費用」40億9,752萬9千元，用以支應各面額鈔券之印製、發行、回籠券整理，以及廢券銷毀等經費，較110年度38億8,747萬1千元增加2億1,005萬8千元。為便利民眾之交易，中央銀行截至110年8月底止共發行「壹佰元」、「貳佰元」、「伍佰元」、「壹仟元」及「貳仟元」等</w:t>
      </w:r>
      <w:r w:rsidR="00BC5A94">
        <w:rPr>
          <w:rFonts w:hint="eastAsia"/>
        </w:rPr>
        <w:t>5</w:t>
      </w:r>
      <w:r w:rsidRPr="00B05DA0">
        <w:rPr>
          <w:rFonts w:hint="eastAsia"/>
        </w:rPr>
        <w:t>種鈔券。根據中央銀行說明，為降低壹佰元及壹仟元之使用張數，印製貳佰元及貳仟元供民眾選擇。然而截至109年止，流通在外之貳佰元及貳仟元僅占流通鈔券比率分別為0.57%及1.35%，並有逐年下降之趨勢，流通情形未盡理想，顯見其發行未能達到原所預計之目標，爰要求中央銀行針對現行之貳佰元及貳仟元鈔券</w:t>
      </w:r>
      <w:r w:rsidR="007935CB" w:rsidRPr="001C5326">
        <w:rPr>
          <w:rFonts w:hint="eastAsia"/>
        </w:rPr>
        <w:t>於3個月內</w:t>
      </w:r>
      <w:r w:rsidRPr="001C5326">
        <w:rPr>
          <w:rFonts w:hint="eastAsia"/>
        </w:rPr>
        <w:t>向</w:t>
      </w:r>
      <w:r w:rsidRPr="003F4D66">
        <w:rPr>
          <w:rFonts w:hint="eastAsia"/>
        </w:rPr>
        <w:t>立法院財政委員會</w:t>
      </w:r>
      <w:r w:rsidRPr="00B05DA0">
        <w:rPr>
          <w:rFonts w:hint="eastAsia"/>
        </w:rPr>
        <w:t>提出退場機制方案之書面報告，以解決鈔券用紙閒置之狀況。</w:t>
      </w:r>
    </w:p>
    <w:p w14:paraId="6CDF47BD"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 xml:space="preserve">提案人：郭國文　</w:t>
      </w:r>
    </w:p>
    <w:p w14:paraId="4CD016BE"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連署</w:t>
      </w:r>
      <w:r w:rsidRPr="00B05DA0">
        <w:rPr>
          <w:rFonts w:hint="eastAsia"/>
        </w:rPr>
        <w:t xml:space="preserve">人：林楚茵　鍾佳濱　</w:t>
      </w:r>
    </w:p>
    <w:p w14:paraId="6605653E" w14:textId="5CC39786" w:rsidR="00B05DA0" w:rsidRPr="00B05DA0" w:rsidRDefault="00B05DA0" w:rsidP="00E02C89">
      <w:pPr>
        <w:adjustRightInd/>
        <w:snapToGrid/>
        <w:ind w:leftChars="300" w:left="1440" w:hangingChars="150" w:hanging="480"/>
        <w:jc w:val="both"/>
        <w:outlineLvl w:val="0"/>
      </w:pPr>
      <w:r w:rsidRPr="00B05DA0">
        <w:rPr>
          <w:rFonts w:hint="eastAsia"/>
        </w:rPr>
        <w:t>1</w:t>
      </w:r>
      <w:r w:rsidR="003E3F83">
        <w:t>5</w:t>
      </w:r>
      <w:r w:rsidRPr="00B05DA0">
        <w:rPr>
          <w:rFonts w:hint="eastAsia"/>
        </w:rPr>
        <w:t>.依中央政府總決算審核報告指出，我國110年1至3月各項不動產平均貸款比率多較109年12月上升，其中公司法人第1戶住宅貸款及購地貸款，平均貸款比率分別自109年</w:t>
      </w:r>
      <w:r w:rsidRPr="00B05DA0">
        <w:rPr>
          <w:rFonts w:hint="eastAsia"/>
        </w:rPr>
        <w:lastRenderedPageBreak/>
        <w:t>12月之42.87%及42.57%，上升至110年3月之54.51%及62.21%，貸款比率大幅增加，公司法人第2戶以上住宅貸款、自然人第3戶以上住宅貸款及高價住宅貸款110年3月之平均貸款比率為49.91%、57.95%及57.97%，接近規範成數上限，且我國109年12月至110年3月不動產貸款集中度分別為36.43%、36.53%、36.53%及36.48%，均較109年1至11月平均不動產貸款集中度35.59%增加，信用資源高度流向不動產，潛藏不利金融穩定之風險，爰要求中央銀行持續注意我國房市影響因素及管制措施有效性，協同相關部會研議因應措施，俾有效引導資金挹注實體經濟及促進金融穩定，並於3個月內向立法院財政委員會提出</w:t>
      </w:r>
      <w:r w:rsidRPr="003F4D66">
        <w:rPr>
          <w:rFonts w:hint="eastAsia"/>
        </w:rPr>
        <w:t>書面</w:t>
      </w:r>
      <w:r w:rsidRPr="00B05DA0">
        <w:rPr>
          <w:rFonts w:hint="eastAsia"/>
        </w:rPr>
        <w:t>報告。</w:t>
      </w:r>
    </w:p>
    <w:p w14:paraId="7809DCC7"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 xml:space="preserve">提案人：賴士葆　張其祿　林德福　羅明才　</w:t>
      </w:r>
    </w:p>
    <w:p w14:paraId="2D67B5A8"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曾銘宗</w:t>
      </w:r>
    </w:p>
    <w:p w14:paraId="7EB0AF24" w14:textId="43287399" w:rsidR="00B05DA0" w:rsidRPr="00B05DA0" w:rsidRDefault="00B05DA0" w:rsidP="00E02C89">
      <w:pPr>
        <w:adjustRightInd/>
        <w:snapToGrid/>
        <w:ind w:leftChars="300" w:left="1440" w:hangingChars="150" w:hanging="480"/>
        <w:jc w:val="both"/>
        <w:outlineLvl w:val="0"/>
      </w:pPr>
      <w:r w:rsidRPr="00B05DA0">
        <w:rPr>
          <w:rFonts w:hint="eastAsia"/>
        </w:rPr>
        <w:t>1</w:t>
      </w:r>
      <w:r w:rsidR="003E3F83">
        <w:t>6</w:t>
      </w:r>
      <w:r w:rsidRPr="00B05DA0">
        <w:rPr>
          <w:rFonts w:hint="eastAsia"/>
        </w:rPr>
        <w:t>.有鑑於我國不動產市場炒作情形嚴重，雖然目前中央銀行已經祭出第四波選擇性信用管制來限制自然人及建商過度買房及囤地的行為。但從過去幾波選擇性信用管制措施實施之成效來看，新聞報導也指出，可能成為投資客或建商趁房價水準較低的情形下，大舉進場，而造成房屋漲價幅度更高。爰要求中央銀行進行四波選擇性信用管制之成效及精進之檢討，另研擬以其他貨幣政策工具或利率方式來配合不動產健全政策，並於3個月內向立法院財政委員會提出書面報告。</w:t>
      </w:r>
    </w:p>
    <w:p w14:paraId="5B3BF25C"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 xml:space="preserve">提案人：張其祿　李貴敏　賴士葆　</w:t>
      </w:r>
    </w:p>
    <w:p w14:paraId="25CD9E0C" w14:textId="3B538C03" w:rsidR="00B05DA0" w:rsidRPr="00B05DA0" w:rsidRDefault="00B05DA0" w:rsidP="00E02C89">
      <w:pPr>
        <w:adjustRightInd/>
        <w:snapToGrid/>
        <w:ind w:leftChars="300" w:left="1440" w:hangingChars="150" w:hanging="480"/>
        <w:jc w:val="both"/>
        <w:outlineLvl w:val="0"/>
      </w:pPr>
      <w:r w:rsidRPr="00B05DA0">
        <w:rPr>
          <w:rFonts w:hint="eastAsia"/>
        </w:rPr>
        <w:t>1</w:t>
      </w:r>
      <w:r w:rsidR="003E3F83">
        <w:t>7</w:t>
      </w:r>
      <w:r w:rsidRPr="00B05DA0">
        <w:rPr>
          <w:rFonts w:hint="eastAsia"/>
        </w:rPr>
        <w:t>.中央各部會自109年底至今，陸續推出多項打炒房措施，期盼能健全房市發展，然而台灣積體電路製造股份有限公司日前證實將進駐高雄，使高雄房價節節攀高。雖行政院自109年起祭出「健全房地產措施」，房價照樣飆漲未停，爰要求中央銀行應取消第2戶寬限期之範圍，從目前的8個特定</w:t>
      </w:r>
      <w:r w:rsidRPr="00B05DA0">
        <w:rPr>
          <w:rFonts w:hint="eastAsia"/>
        </w:rPr>
        <w:lastRenderedPageBreak/>
        <w:t>地區擴及全台。此外，金融機構除提升第2戶房貸利率外，應評估提高第3戶房貸利率、縮短貸款期限，並於1個月內向立法院財政委員會提出滾動式檢討</w:t>
      </w:r>
      <w:r w:rsidRPr="003F4D66">
        <w:rPr>
          <w:rFonts w:hint="eastAsia"/>
        </w:rPr>
        <w:t>書面報</w:t>
      </w:r>
      <w:r w:rsidRPr="00B05DA0">
        <w:rPr>
          <w:rFonts w:hint="eastAsia"/>
        </w:rPr>
        <w:t>告。</w:t>
      </w:r>
    </w:p>
    <w:p w14:paraId="5C34F80B"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 xml:space="preserve">提案人：郭國文　</w:t>
      </w:r>
    </w:p>
    <w:p w14:paraId="771C94FC"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連署</w:t>
      </w:r>
      <w:r w:rsidRPr="00B05DA0">
        <w:rPr>
          <w:rFonts w:hint="eastAsia"/>
        </w:rPr>
        <w:t xml:space="preserve">人：林楚茵　鍾佳濱　</w:t>
      </w:r>
    </w:p>
    <w:p w14:paraId="1E8C8355" w14:textId="24BB2ACF" w:rsidR="00B05DA0" w:rsidRPr="00B05DA0" w:rsidRDefault="00B05DA0" w:rsidP="00E02C89">
      <w:pPr>
        <w:adjustRightInd/>
        <w:snapToGrid/>
        <w:ind w:leftChars="300" w:left="1440" w:hangingChars="150" w:hanging="480"/>
        <w:jc w:val="both"/>
        <w:outlineLvl w:val="0"/>
      </w:pPr>
      <w:r w:rsidRPr="00B05DA0">
        <w:rPr>
          <w:rFonts w:hint="eastAsia"/>
        </w:rPr>
        <w:t>1</w:t>
      </w:r>
      <w:r w:rsidR="003E3F83">
        <w:t>8</w:t>
      </w:r>
      <w:r w:rsidRPr="00B05DA0">
        <w:rPr>
          <w:rFonts w:hint="eastAsia"/>
        </w:rPr>
        <w:t>.中央銀行祭出第四波選擇性信用管制，瞄準囤房囤地，除祭出史上最嚴的成數限制外，並也邀銀行共商執行細節，訂定一致性的規範，以強化政策力道。然而，在通膨持續走高情形下，房屋仍具有保值抗跌的優勢，不少高所得及高資本者，一出手便是無貸款購屋，不需向銀行申請貸款，中央銀行立意良好，但打炒房恐無法到位，甚至變相造成投資者將成本加諸於房價上，有鑑於此，請中央銀行應儘速檢討及就職掌範圍內研議相對應措施，並於3個月內向立法院財政委員會提出書面報告。</w:t>
      </w:r>
    </w:p>
    <w:p w14:paraId="0F970A0E"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 xml:space="preserve">提案人：張其祿　李貴敏　賴士葆　</w:t>
      </w:r>
    </w:p>
    <w:p w14:paraId="30697B13" w14:textId="5A0FF348" w:rsidR="00B05DA0" w:rsidRPr="00B05DA0" w:rsidRDefault="00B05DA0" w:rsidP="00E02C89">
      <w:pPr>
        <w:adjustRightInd/>
        <w:snapToGrid/>
        <w:ind w:leftChars="300" w:left="1440" w:hangingChars="150" w:hanging="480"/>
        <w:jc w:val="both"/>
        <w:outlineLvl w:val="0"/>
      </w:pPr>
      <w:r w:rsidRPr="00B05DA0">
        <w:rPr>
          <w:rFonts w:hint="eastAsia"/>
        </w:rPr>
        <w:t>1</w:t>
      </w:r>
      <w:r w:rsidR="003E3F83">
        <w:t>9</w:t>
      </w:r>
      <w:r w:rsidRPr="00B05DA0">
        <w:rPr>
          <w:rFonts w:hint="eastAsia"/>
        </w:rPr>
        <w:t>.中央銀行110年11月本國銀行購屋貸款（房貸）與建築貸款（土建融）餘額，分別為8兆6</w:t>
      </w:r>
      <w:r w:rsidRPr="00B05DA0">
        <w:t>,</w:t>
      </w:r>
      <w:r w:rsidRPr="00B05DA0">
        <w:rPr>
          <w:rFonts w:hint="eastAsia"/>
        </w:rPr>
        <w:t>994億元與2兆7</w:t>
      </w:r>
      <w:r w:rsidRPr="00B05DA0">
        <w:t>,</w:t>
      </w:r>
      <w:r w:rsidRPr="00B05DA0">
        <w:rPr>
          <w:rFonts w:hint="eastAsia"/>
        </w:rPr>
        <w:t>537億元，相較109年1月餘額，短短2年間，房貸增長17%、土建融增長近31%。房屋與住宅用地應服膺民眾居住平權之實踐，而非投機、炒作之商品，因此如何防堵不肖建商透過貸款囤地、養地，是政府財政部門所必須努力之方向。109年底至今，中央銀行四度調整中央銀行對金融機構辦理不動產抵押貸款業務規定，並要求建商貸款購地除須擬定興建計畫外，並須切結於一定期間內動工興建。惟為防止不肖建商透過以貸養貸、轉貸等手法，規避前項限期動工之要求，中央銀行應有配套措施供金融機構知悉建商購地貸款之相關資訊，以共同建構健全之房貸市場。爰此，請中央銀行研擬於地籍謄本之土地參考資訊檔或金融機構聯徵資訊增訂土融</w:t>
      </w:r>
      <w:r w:rsidRPr="00B05DA0">
        <w:rPr>
          <w:rFonts w:hint="eastAsia"/>
        </w:rPr>
        <w:lastRenderedPageBreak/>
        <w:t>相關資訊及動工期限之可行性，於3個月內向立法院財政委員會提出書面報告。</w:t>
      </w:r>
    </w:p>
    <w:p w14:paraId="59A36663"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 xml:space="preserve">提案人：鍾佳濱　林楚茵　郭國文　</w:t>
      </w:r>
    </w:p>
    <w:p w14:paraId="6C9BBFAD" w14:textId="2314A3D9" w:rsidR="00B05DA0" w:rsidRPr="00B05DA0" w:rsidRDefault="003E3F83" w:rsidP="00E02C89">
      <w:pPr>
        <w:adjustRightInd/>
        <w:snapToGrid/>
        <w:ind w:leftChars="300" w:left="1440" w:hangingChars="150" w:hanging="480"/>
        <w:jc w:val="both"/>
        <w:outlineLvl w:val="0"/>
      </w:pPr>
      <w:r>
        <w:t>20</w:t>
      </w:r>
      <w:r w:rsidR="00B05DA0" w:rsidRPr="00B05DA0">
        <w:rPr>
          <w:rFonts w:hint="eastAsia"/>
        </w:rPr>
        <w:t>.高房價已成為嚴重之議題，對於炒房之風氣如何改善，應從源頭建商端做起，對於建商高價獵地時常出現於新聞媒體當中，而對於銀行端購地貸款無限展延恐有讓建商有貸款養地、囤地藉以炒高房價之疑。鑑此，請中央銀行針對「限制銀行對於建設公司購地貸款之展延」為題，於2個月內向立法院財政委員會提出書面報告，以釋大眾之疑義。</w:t>
      </w:r>
    </w:p>
    <w:p w14:paraId="2E153647" w14:textId="77777777" w:rsidR="00B05DA0" w:rsidRPr="00B05DA0" w:rsidRDefault="00B05DA0" w:rsidP="00B05DA0">
      <w:pPr>
        <w:adjustRightInd/>
        <w:snapToGrid/>
        <w:ind w:leftChars="300" w:left="960" w:firstLineChars="190" w:firstLine="609"/>
        <w:jc w:val="both"/>
        <w:outlineLvl w:val="0"/>
      </w:pPr>
      <w:r w:rsidRPr="00B05DA0">
        <w:rPr>
          <w:rFonts w:ascii="標楷體" w:eastAsia="標楷體" w:hAnsi="標楷體" w:hint="eastAsia"/>
          <w:b/>
        </w:rPr>
        <w:t xml:space="preserve">　　　　　　</w:t>
      </w:r>
      <w:r w:rsidRPr="00B05DA0">
        <w:rPr>
          <w:rFonts w:ascii="標楷體" w:eastAsia="標楷體" w:hAnsi="標楷體" w:hint="eastAsia"/>
        </w:rPr>
        <w:t xml:space="preserve">提案人：高嘉瑜　</w:t>
      </w:r>
    </w:p>
    <w:p w14:paraId="7ED000F4"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 xml:space="preserve">連署人：張其祿　郭國文　</w:t>
      </w:r>
    </w:p>
    <w:p w14:paraId="0CC19591" w14:textId="1D3490DA" w:rsidR="00B05DA0" w:rsidRPr="00B05DA0" w:rsidRDefault="003E3F83" w:rsidP="00E02C89">
      <w:pPr>
        <w:adjustRightInd/>
        <w:snapToGrid/>
        <w:ind w:leftChars="300" w:left="1440" w:hangingChars="150" w:hanging="480"/>
        <w:jc w:val="both"/>
        <w:outlineLvl w:val="0"/>
        <w:rPr>
          <w:rFonts w:ascii="標楷體" w:eastAsia="標楷體" w:hAnsi="標楷體"/>
        </w:rPr>
      </w:pPr>
      <w:r>
        <w:t>2</w:t>
      </w:r>
      <w:r w:rsidR="00B05DA0" w:rsidRPr="00B05DA0">
        <w:rPr>
          <w:rFonts w:hint="eastAsia"/>
        </w:rPr>
        <w:t>1.</w:t>
      </w:r>
      <w:r w:rsidR="00B05DA0" w:rsidRPr="00B05DA0">
        <w:rPr>
          <w:rFonts w:ascii="標楷體" w:eastAsia="標楷體" w:hAnsi="標楷體" w:hint="eastAsia"/>
        </w:rPr>
        <w:t>依中央銀行法第33條規定：「本行持有國際貨幣準備，並統籌調度外匯。」經統計107至109年底我國外匯存底分別為4,617.84億美元、4,781.26億美元及5,299.11億美元，2年間增加幅度約14.75%，主要係投資運用收益及調節外匯市場所致。惟查中央銀行109年度計有14個信託投資帳戶，委託投資金額108億美元，其中有9個帳戶年投資報酬率低於標竿值，投資金額計55億餘美元，占整體投資比重約51.18%，另有2帳戶年投資報酬率連續2年度低於標準評估值，投資金額計8億餘美元，占整體投資比重約7.53%。顯示投資績效尚有提升空間，亟待研謀妥處。爰要求中央銀行就如何提升委外投資機構資金運用效益，於1個月內向立法院財政委員會提出書面報告。</w:t>
      </w:r>
    </w:p>
    <w:p w14:paraId="79939824"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提案人：郭國文</w:t>
      </w:r>
    </w:p>
    <w:p w14:paraId="2E408D52"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連署人：林楚茵　鍾佳濱</w:t>
      </w:r>
    </w:p>
    <w:p w14:paraId="7D7A6085" w14:textId="6CFBEA84" w:rsidR="00B05DA0" w:rsidRPr="00B05DA0" w:rsidRDefault="003E3F83"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22</w:t>
      </w:r>
      <w:r w:rsidR="00B05DA0" w:rsidRPr="00B05DA0">
        <w:rPr>
          <w:rFonts w:ascii="標楷體" w:eastAsia="標楷體" w:hAnsi="標楷體" w:hint="eastAsia"/>
        </w:rPr>
        <w:t>.</w:t>
      </w:r>
      <w:r w:rsidR="00B05DA0" w:rsidRPr="00B05DA0">
        <w:rPr>
          <w:rFonts w:ascii="標楷體" w:eastAsia="標楷體" w:hAnsi="標楷體"/>
        </w:rPr>
        <w:t>111</w:t>
      </w:r>
      <w:r w:rsidR="00B05DA0" w:rsidRPr="00B05DA0">
        <w:rPr>
          <w:rFonts w:ascii="標楷體" w:eastAsia="標楷體" w:hAnsi="標楷體" w:hint="eastAsia"/>
        </w:rPr>
        <w:t>年度中央銀行預算案編列「</w:t>
      </w:r>
      <w:r w:rsidR="00B05DA0" w:rsidRPr="00B05DA0">
        <w:rPr>
          <w:rFonts w:ascii="標楷體" w:eastAsia="標楷體" w:hAnsi="標楷體" w:cs="新細明體" w:hint="eastAsia"/>
        </w:rPr>
        <w:t>金</w:t>
      </w:r>
      <w:r w:rsidR="00B05DA0" w:rsidRPr="00B05DA0">
        <w:rPr>
          <w:rFonts w:ascii="標楷體" w:eastAsia="標楷體" w:hAnsi="標楷體" w:cs="華康楷書體W5" w:hint="eastAsia"/>
        </w:rPr>
        <w:t>融保險收入</w:t>
      </w:r>
      <w:r w:rsidR="00B05DA0" w:rsidRPr="00B05DA0">
        <w:rPr>
          <w:rFonts w:ascii="標楷體" w:eastAsia="標楷體" w:hAnsi="標楷體"/>
        </w:rPr>
        <w:t>-</w:t>
      </w:r>
      <w:r w:rsidR="00B05DA0" w:rsidRPr="00B05DA0">
        <w:rPr>
          <w:rFonts w:ascii="標楷體" w:eastAsia="標楷體" w:hAnsi="標楷體" w:cs="新細明體" w:hint="eastAsia"/>
        </w:rPr>
        <w:t>利</w:t>
      </w:r>
      <w:r w:rsidR="00B05DA0" w:rsidRPr="00B05DA0">
        <w:rPr>
          <w:rFonts w:ascii="標楷體" w:eastAsia="標楷體" w:hAnsi="標楷體" w:cs="華康楷書體W5" w:hint="eastAsia"/>
        </w:rPr>
        <w:t>息收入」</w:t>
      </w:r>
      <w:r w:rsidR="00B05DA0" w:rsidRPr="00B05DA0">
        <w:rPr>
          <w:rFonts w:ascii="標楷體" w:eastAsia="標楷體" w:hAnsi="標楷體"/>
        </w:rPr>
        <w:t>2,644</w:t>
      </w:r>
      <w:r w:rsidR="00B05DA0" w:rsidRPr="00B05DA0">
        <w:rPr>
          <w:rFonts w:ascii="標楷體" w:eastAsia="標楷體" w:hAnsi="標楷體" w:hint="eastAsia"/>
        </w:rPr>
        <w:t>億</w:t>
      </w:r>
      <w:r w:rsidR="00B05DA0" w:rsidRPr="00B05DA0">
        <w:rPr>
          <w:rFonts w:ascii="標楷體" w:eastAsia="標楷體" w:hAnsi="標楷體"/>
        </w:rPr>
        <w:t>2,852</w:t>
      </w:r>
      <w:r w:rsidR="00B05DA0" w:rsidRPr="00B05DA0">
        <w:rPr>
          <w:rFonts w:ascii="標楷體" w:eastAsia="標楷體" w:hAnsi="標楷體" w:hint="eastAsia"/>
        </w:rPr>
        <w:t>萬</w:t>
      </w:r>
      <w:r w:rsidR="00B05DA0" w:rsidRPr="00B05DA0">
        <w:rPr>
          <w:rFonts w:ascii="標楷體" w:eastAsia="標楷體" w:hAnsi="標楷體"/>
        </w:rPr>
        <w:t>7</w:t>
      </w:r>
      <w:r w:rsidR="00B05DA0" w:rsidRPr="00B05DA0">
        <w:rPr>
          <w:rFonts w:ascii="標楷體" w:eastAsia="標楷體" w:hAnsi="標楷體" w:hint="eastAsia"/>
        </w:rPr>
        <w:t>千元，其來源最主要為投資長期證券息</w:t>
      </w:r>
      <w:r w:rsidR="00B05DA0" w:rsidRPr="00B05DA0">
        <w:rPr>
          <w:rFonts w:ascii="標楷體" w:eastAsia="標楷體" w:hAnsi="標楷體"/>
        </w:rPr>
        <w:t>(</w:t>
      </w:r>
      <w:r w:rsidR="00B05DA0" w:rsidRPr="00B05DA0">
        <w:rPr>
          <w:rFonts w:ascii="標楷體" w:eastAsia="標楷體" w:hAnsi="標楷體" w:hint="eastAsia"/>
        </w:rPr>
        <w:t>按攤銷後成本衡量之金融資產</w:t>
      </w:r>
      <w:r w:rsidR="00B05DA0" w:rsidRPr="00B05DA0">
        <w:rPr>
          <w:rFonts w:ascii="標楷體" w:eastAsia="標楷體" w:hAnsi="標楷體"/>
        </w:rPr>
        <w:t>-</w:t>
      </w:r>
      <w:r w:rsidR="00B05DA0" w:rsidRPr="00B05DA0">
        <w:rPr>
          <w:rFonts w:ascii="標楷體" w:eastAsia="標楷體" w:hAnsi="標楷體" w:hint="eastAsia"/>
        </w:rPr>
        <w:t>非流動息</w:t>
      </w:r>
      <w:r w:rsidR="00B05DA0" w:rsidRPr="00B05DA0">
        <w:rPr>
          <w:rFonts w:ascii="標楷體" w:eastAsia="標楷體" w:hAnsi="標楷體"/>
        </w:rPr>
        <w:t>)</w:t>
      </w:r>
      <w:r w:rsidR="00B05DA0" w:rsidRPr="00B05DA0">
        <w:rPr>
          <w:rFonts w:ascii="標楷體" w:eastAsia="標楷體" w:hAnsi="標楷體" w:hint="eastAsia"/>
        </w:rPr>
        <w:t>，惟其</w:t>
      </w:r>
      <w:r w:rsidR="00B05DA0" w:rsidRPr="00B05DA0">
        <w:rPr>
          <w:rFonts w:ascii="標楷體" w:eastAsia="標楷體" w:hAnsi="標楷體"/>
        </w:rPr>
        <w:t>111</w:t>
      </w:r>
      <w:r w:rsidR="00B05DA0" w:rsidRPr="00B05DA0">
        <w:rPr>
          <w:rFonts w:ascii="標楷體" w:eastAsia="標楷體" w:hAnsi="標楷體" w:hint="eastAsia"/>
        </w:rPr>
        <w:t>年度</w:t>
      </w:r>
      <w:r w:rsidR="00B05DA0" w:rsidRPr="00B05DA0">
        <w:rPr>
          <w:rFonts w:ascii="標楷體" w:eastAsia="標楷體" w:hAnsi="標楷體" w:hint="eastAsia"/>
        </w:rPr>
        <w:lastRenderedPageBreak/>
        <w:t>預算案預計收益利率僅</w:t>
      </w:r>
      <w:r w:rsidR="00B05DA0" w:rsidRPr="00B05DA0">
        <w:rPr>
          <w:rFonts w:ascii="標楷體" w:eastAsia="標楷體" w:hAnsi="標楷體"/>
        </w:rPr>
        <w:t>1.75%</w:t>
      </w:r>
      <w:r w:rsidR="00B05DA0" w:rsidRPr="00B05DA0">
        <w:rPr>
          <w:rFonts w:ascii="標楷體" w:eastAsia="標楷體" w:hAnsi="標楷體" w:hint="eastAsia"/>
        </w:rPr>
        <w:t>，較存放息利率</w:t>
      </w:r>
      <w:r w:rsidR="00B05DA0" w:rsidRPr="00B05DA0">
        <w:rPr>
          <w:rFonts w:ascii="標楷體" w:eastAsia="標楷體" w:hAnsi="標楷體"/>
        </w:rPr>
        <w:t>2.14%</w:t>
      </w:r>
      <w:r w:rsidR="00B05DA0" w:rsidRPr="00B05DA0">
        <w:rPr>
          <w:rFonts w:ascii="標楷體" w:eastAsia="標楷體" w:hAnsi="標楷體" w:hint="eastAsia"/>
        </w:rPr>
        <w:t>低。中央銀行依法管理運用我國龐大外匯存底，其財務結構之穩定性受管理績效影響甚鉅，又因考量國際匯市瞬息萬變，該行外幣資產投資著重長期孳息收入。爰此，為使資金獲得更佳之投資報酬率，中央銀行應擬訂資金投資計畫，並於</w:t>
      </w:r>
      <w:r w:rsidR="00B05DA0" w:rsidRPr="00B05DA0">
        <w:rPr>
          <w:rFonts w:ascii="標楷體" w:eastAsia="標楷體" w:hAnsi="標楷體"/>
        </w:rPr>
        <w:t>1</w:t>
      </w:r>
      <w:r w:rsidR="00B05DA0" w:rsidRPr="00B05DA0">
        <w:rPr>
          <w:rFonts w:ascii="標楷體" w:eastAsia="標楷體" w:hAnsi="標楷體" w:hint="eastAsia"/>
        </w:rPr>
        <w:t>個月內向立法院財政委員會提出</w:t>
      </w:r>
      <w:r w:rsidR="00B05DA0" w:rsidRPr="003F4D66">
        <w:rPr>
          <w:rFonts w:ascii="標楷體" w:eastAsia="標楷體" w:hAnsi="標楷體" w:hint="eastAsia"/>
        </w:rPr>
        <w:t>書面報</w:t>
      </w:r>
      <w:r w:rsidR="00B05DA0" w:rsidRPr="00B05DA0">
        <w:rPr>
          <w:rFonts w:ascii="標楷體" w:eastAsia="標楷體" w:hAnsi="標楷體" w:hint="eastAsia"/>
        </w:rPr>
        <w:t>告。</w:t>
      </w:r>
    </w:p>
    <w:p w14:paraId="5AD5D76F" w14:textId="77777777" w:rsidR="00B05DA0" w:rsidRPr="00B05DA0" w:rsidRDefault="00B05DA0" w:rsidP="00BC5A94">
      <w:pPr>
        <w:autoSpaceDE w:val="0"/>
        <w:autoSpaceDN w:val="0"/>
        <w:spacing w:line="520" w:lineRule="exact"/>
        <w:ind w:firstLineChars="595" w:firstLine="1666"/>
        <w:rPr>
          <w:rFonts w:ascii="標楷體" w:eastAsia="標楷體" w:hAnsi="標楷體" w:cs="DFKaiShu-SB-Estd-BF"/>
          <w:sz w:val="28"/>
          <w:szCs w:val="28"/>
        </w:rPr>
      </w:pPr>
      <w:r w:rsidRPr="00B05DA0">
        <w:rPr>
          <w:rFonts w:ascii="標楷體" w:eastAsia="標楷體" w:hAnsi="標楷體" w:cs="DFKaiShu-SB-Estd-BF" w:hint="eastAsia"/>
          <w:sz w:val="28"/>
          <w:szCs w:val="28"/>
        </w:rPr>
        <w:t>111年度中央銀行預算案「金融保險收入</w:t>
      </w:r>
      <w:r w:rsidRPr="00B05DA0">
        <w:rPr>
          <w:rFonts w:ascii="標楷體" w:eastAsia="標楷體" w:hAnsi="標楷體" w:cs="DFKaiShu-SB-Estd-BF"/>
          <w:sz w:val="28"/>
          <w:szCs w:val="28"/>
        </w:rPr>
        <w:t>-</w:t>
      </w:r>
      <w:r w:rsidRPr="00B05DA0">
        <w:rPr>
          <w:rFonts w:ascii="標楷體" w:eastAsia="標楷體" w:hAnsi="標楷體" w:cs="DFKaiShu-SB-Estd-BF" w:hint="eastAsia"/>
          <w:sz w:val="28"/>
          <w:szCs w:val="28"/>
        </w:rPr>
        <w:t>利息收入」編列情形</w:t>
      </w:r>
    </w:p>
    <w:tbl>
      <w:tblPr>
        <w:tblStyle w:val="1"/>
        <w:tblW w:w="0" w:type="auto"/>
        <w:jc w:val="right"/>
        <w:tblLayout w:type="fixed"/>
        <w:tblLook w:val="04A0" w:firstRow="1" w:lastRow="0" w:firstColumn="1" w:lastColumn="0" w:noHBand="0" w:noVBand="1"/>
      </w:tblPr>
      <w:tblGrid>
        <w:gridCol w:w="2547"/>
        <w:gridCol w:w="2410"/>
        <w:gridCol w:w="1417"/>
        <w:gridCol w:w="1606"/>
      </w:tblGrid>
      <w:tr w:rsidR="00B05DA0" w:rsidRPr="003F4D66" w14:paraId="3D809B52" w14:textId="77777777" w:rsidTr="007935CB">
        <w:trPr>
          <w:jc w:val="right"/>
        </w:trPr>
        <w:tc>
          <w:tcPr>
            <w:tcW w:w="2547" w:type="dxa"/>
          </w:tcPr>
          <w:p w14:paraId="58B6A6BF" w14:textId="77777777" w:rsidR="00B05DA0" w:rsidRPr="003F4D66" w:rsidRDefault="00B05DA0" w:rsidP="00B05DA0">
            <w:pPr>
              <w:autoSpaceDE w:val="0"/>
              <w:autoSpaceDN w:val="0"/>
              <w:spacing w:line="520" w:lineRule="exact"/>
              <w:jc w:val="center"/>
              <w:rPr>
                <w:rFonts w:ascii="標楷體" w:eastAsia="標楷體" w:hAnsi="標楷體" w:cs="DFKaiShu-SB-Estd-BF"/>
                <w:kern w:val="0"/>
                <w:sz w:val="24"/>
                <w:szCs w:val="24"/>
              </w:rPr>
            </w:pPr>
            <w:r w:rsidRPr="003F4D66">
              <w:rPr>
                <w:rFonts w:ascii="標楷體" w:eastAsia="標楷體" w:hAnsi="標楷體" w:cs="DFKaiShu-SB-Estd-BF" w:hint="eastAsia"/>
                <w:kern w:val="0"/>
                <w:sz w:val="24"/>
                <w:szCs w:val="24"/>
              </w:rPr>
              <w:t>營運項目</w:t>
            </w:r>
          </w:p>
        </w:tc>
        <w:tc>
          <w:tcPr>
            <w:tcW w:w="2410" w:type="dxa"/>
          </w:tcPr>
          <w:p w14:paraId="7227DD07" w14:textId="77777777" w:rsidR="00B05DA0" w:rsidRPr="003F4D66" w:rsidRDefault="00B05DA0" w:rsidP="00B05DA0">
            <w:pPr>
              <w:autoSpaceDE w:val="0"/>
              <w:autoSpaceDN w:val="0"/>
              <w:spacing w:line="360" w:lineRule="exact"/>
              <w:jc w:val="center"/>
              <w:rPr>
                <w:rFonts w:ascii="標楷體" w:eastAsia="標楷體" w:hAnsi="標楷體" w:cs="DFKaiShu-SB-Estd-BF"/>
                <w:kern w:val="0"/>
                <w:sz w:val="24"/>
                <w:szCs w:val="24"/>
              </w:rPr>
            </w:pPr>
            <w:r w:rsidRPr="003F4D66">
              <w:rPr>
                <w:rFonts w:ascii="標楷體" w:eastAsia="標楷體" w:hAnsi="標楷體" w:cs="DFKaiShu-SB-Estd-BF" w:hint="eastAsia"/>
                <w:kern w:val="0"/>
                <w:sz w:val="24"/>
                <w:szCs w:val="24"/>
              </w:rPr>
              <w:t>營運量</w:t>
            </w:r>
          </w:p>
          <w:p w14:paraId="7E57481B" w14:textId="77777777" w:rsidR="00B05DA0" w:rsidRPr="003F4D66" w:rsidRDefault="00B05DA0" w:rsidP="00B05DA0">
            <w:pPr>
              <w:autoSpaceDE w:val="0"/>
              <w:autoSpaceDN w:val="0"/>
              <w:spacing w:line="360" w:lineRule="exact"/>
              <w:jc w:val="center"/>
              <w:rPr>
                <w:rFonts w:ascii="標楷體" w:eastAsia="標楷體" w:hAnsi="標楷體" w:cs="DFKaiShu-SB-Estd-BF"/>
                <w:kern w:val="0"/>
                <w:sz w:val="24"/>
                <w:szCs w:val="24"/>
              </w:rPr>
            </w:pPr>
            <w:r w:rsidRPr="003F4D66">
              <w:rPr>
                <w:rFonts w:ascii="標楷體" w:eastAsia="標楷體" w:hAnsi="標楷體" w:cs="DFKaiShu-SB-Estd-BF" w:hint="eastAsia"/>
                <w:kern w:val="0"/>
                <w:sz w:val="24"/>
                <w:szCs w:val="24"/>
              </w:rPr>
              <w:t>(新台幣千元)</w:t>
            </w:r>
          </w:p>
        </w:tc>
        <w:tc>
          <w:tcPr>
            <w:tcW w:w="1417" w:type="dxa"/>
          </w:tcPr>
          <w:p w14:paraId="757629AB" w14:textId="77777777" w:rsidR="00B05DA0" w:rsidRPr="003F4D66" w:rsidRDefault="00B05DA0" w:rsidP="00B05DA0">
            <w:pPr>
              <w:autoSpaceDE w:val="0"/>
              <w:autoSpaceDN w:val="0"/>
              <w:spacing w:line="360" w:lineRule="exact"/>
              <w:jc w:val="center"/>
              <w:rPr>
                <w:rFonts w:ascii="標楷體" w:eastAsia="標楷體" w:hAnsi="標楷體" w:cs="DFKaiShu-SB-Estd-BF"/>
                <w:kern w:val="0"/>
                <w:sz w:val="24"/>
                <w:szCs w:val="24"/>
              </w:rPr>
            </w:pPr>
            <w:r w:rsidRPr="003F4D66">
              <w:rPr>
                <w:rFonts w:ascii="標楷體" w:eastAsia="標楷體" w:hAnsi="標楷體" w:cs="DFKaiShu-SB-Estd-BF" w:hint="eastAsia"/>
                <w:kern w:val="0"/>
                <w:sz w:val="24"/>
                <w:szCs w:val="24"/>
              </w:rPr>
              <w:t>加權平均</w:t>
            </w:r>
          </w:p>
          <w:p w14:paraId="51297AAF" w14:textId="77777777" w:rsidR="00B05DA0" w:rsidRPr="003F4D66" w:rsidRDefault="00B05DA0" w:rsidP="00B05DA0">
            <w:pPr>
              <w:autoSpaceDE w:val="0"/>
              <w:autoSpaceDN w:val="0"/>
              <w:spacing w:line="360" w:lineRule="exact"/>
              <w:jc w:val="center"/>
              <w:rPr>
                <w:rFonts w:ascii="標楷體" w:eastAsia="標楷體" w:hAnsi="標楷體" w:cs="DFKaiShu-SB-Estd-BF"/>
                <w:kern w:val="0"/>
                <w:sz w:val="24"/>
                <w:szCs w:val="24"/>
              </w:rPr>
            </w:pPr>
            <w:r w:rsidRPr="003F4D66">
              <w:rPr>
                <w:rFonts w:ascii="標楷體" w:eastAsia="標楷體" w:hAnsi="標楷體" w:cs="DFKaiShu-SB-Estd-BF" w:hint="eastAsia"/>
                <w:kern w:val="0"/>
                <w:sz w:val="24"/>
                <w:szCs w:val="24"/>
              </w:rPr>
              <w:t>利(費)率</w:t>
            </w:r>
          </w:p>
        </w:tc>
        <w:tc>
          <w:tcPr>
            <w:tcW w:w="1606" w:type="dxa"/>
          </w:tcPr>
          <w:p w14:paraId="3F546544" w14:textId="77777777" w:rsidR="00B05DA0" w:rsidRPr="003F4D66" w:rsidRDefault="00B05DA0" w:rsidP="00B05DA0">
            <w:pPr>
              <w:autoSpaceDE w:val="0"/>
              <w:autoSpaceDN w:val="0"/>
              <w:spacing w:line="360" w:lineRule="exact"/>
              <w:jc w:val="center"/>
              <w:rPr>
                <w:rFonts w:ascii="標楷體" w:eastAsia="標楷體" w:hAnsi="標楷體" w:cs="DFKaiShu-SB-Estd-BF"/>
                <w:sz w:val="24"/>
                <w:szCs w:val="24"/>
              </w:rPr>
            </w:pPr>
            <w:r w:rsidRPr="003F4D66">
              <w:rPr>
                <w:rFonts w:ascii="標楷體" w:eastAsia="標楷體" w:hAnsi="標楷體" w:cs="DFKaiShu-SB-Estd-BF" w:hint="eastAsia"/>
                <w:sz w:val="24"/>
                <w:szCs w:val="24"/>
              </w:rPr>
              <w:t>利息收入</w:t>
            </w:r>
          </w:p>
          <w:p w14:paraId="23BDA571" w14:textId="77777777" w:rsidR="00B05DA0" w:rsidRPr="003F4D66" w:rsidRDefault="00B05DA0" w:rsidP="00B05DA0">
            <w:pPr>
              <w:autoSpaceDE w:val="0"/>
              <w:autoSpaceDN w:val="0"/>
              <w:spacing w:line="360" w:lineRule="exact"/>
              <w:jc w:val="center"/>
              <w:rPr>
                <w:rFonts w:ascii="標楷體" w:eastAsia="標楷體" w:hAnsi="標楷體" w:cs="DFKaiShu-SB-Estd-BF"/>
                <w:sz w:val="24"/>
                <w:szCs w:val="24"/>
              </w:rPr>
            </w:pPr>
            <w:r w:rsidRPr="003F4D66">
              <w:rPr>
                <w:rFonts w:ascii="標楷體" w:eastAsia="標楷體" w:hAnsi="標楷體" w:cs="DFKaiShu-SB-Estd-BF" w:hint="eastAsia"/>
                <w:sz w:val="24"/>
                <w:szCs w:val="24"/>
              </w:rPr>
              <w:t>(新台幣千元)</w:t>
            </w:r>
          </w:p>
        </w:tc>
      </w:tr>
      <w:tr w:rsidR="00B05DA0" w:rsidRPr="003F4D66" w14:paraId="3008DB42" w14:textId="77777777" w:rsidTr="007935CB">
        <w:trPr>
          <w:jc w:val="right"/>
        </w:trPr>
        <w:tc>
          <w:tcPr>
            <w:tcW w:w="2547" w:type="dxa"/>
          </w:tcPr>
          <w:p w14:paraId="09D36645" w14:textId="77777777" w:rsidR="00B05DA0" w:rsidRPr="003F4D66" w:rsidRDefault="00B05DA0" w:rsidP="00B05DA0">
            <w:pPr>
              <w:autoSpaceDE w:val="0"/>
              <w:autoSpaceDN w:val="0"/>
              <w:spacing w:line="520" w:lineRule="exact"/>
              <w:rPr>
                <w:rFonts w:ascii="標楷體" w:eastAsia="標楷體" w:hAnsi="標楷體" w:cs="DFKaiShu-SB-Estd-BF"/>
                <w:kern w:val="0"/>
                <w:sz w:val="24"/>
                <w:szCs w:val="24"/>
              </w:rPr>
            </w:pPr>
            <w:r w:rsidRPr="003F4D66">
              <w:rPr>
                <w:rFonts w:ascii="標楷體" w:eastAsia="標楷體" w:hAnsi="標楷體" w:cs="DFKaiShu-SB-Estd-BF" w:hint="eastAsia"/>
                <w:kern w:val="0"/>
                <w:sz w:val="24"/>
                <w:szCs w:val="24"/>
              </w:rPr>
              <w:t>存放息</w:t>
            </w:r>
          </w:p>
        </w:tc>
        <w:tc>
          <w:tcPr>
            <w:tcW w:w="2410" w:type="dxa"/>
          </w:tcPr>
          <w:p w14:paraId="0E071181"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r w:rsidRPr="003F4D66">
              <w:rPr>
                <w:rFonts w:ascii="標楷體" w:eastAsia="標楷體" w:hAnsi="標楷體" w:cs="DFKaiShu-SB-Estd-BF" w:hint="eastAsia"/>
                <w:kern w:val="0"/>
                <w:sz w:val="24"/>
                <w:szCs w:val="24"/>
              </w:rPr>
              <w:t>1</w:t>
            </w:r>
            <w:r w:rsidRPr="003F4D66">
              <w:rPr>
                <w:rFonts w:ascii="標楷體" w:eastAsia="標楷體" w:hAnsi="標楷體" w:cs="DFKaiShu-SB-Estd-BF"/>
                <w:kern w:val="0"/>
                <w:sz w:val="24"/>
                <w:szCs w:val="24"/>
              </w:rPr>
              <w:t>,347,624,000</w:t>
            </w:r>
          </w:p>
        </w:tc>
        <w:tc>
          <w:tcPr>
            <w:tcW w:w="1417" w:type="dxa"/>
          </w:tcPr>
          <w:p w14:paraId="40372A53"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r w:rsidRPr="003F4D66">
              <w:rPr>
                <w:rFonts w:ascii="標楷體" w:eastAsia="標楷體" w:hAnsi="標楷體" w:cs="DFKaiShu-SB-Estd-BF" w:hint="eastAsia"/>
                <w:kern w:val="0"/>
                <w:sz w:val="24"/>
                <w:szCs w:val="24"/>
              </w:rPr>
              <w:t>2</w:t>
            </w:r>
            <w:r w:rsidRPr="003F4D66">
              <w:rPr>
                <w:rFonts w:ascii="標楷體" w:eastAsia="標楷體" w:hAnsi="標楷體" w:cs="DFKaiShu-SB-Estd-BF"/>
                <w:kern w:val="0"/>
                <w:sz w:val="24"/>
                <w:szCs w:val="24"/>
              </w:rPr>
              <w:t>.14%</w:t>
            </w:r>
          </w:p>
        </w:tc>
        <w:tc>
          <w:tcPr>
            <w:tcW w:w="1606" w:type="dxa"/>
          </w:tcPr>
          <w:p w14:paraId="1F5F8F4A" w14:textId="77777777" w:rsidR="00B05DA0" w:rsidRPr="003F4D66" w:rsidRDefault="00B05DA0" w:rsidP="00496B91">
            <w:pPr>
              <w:autoSpaceDE w:val="0"/>
              <w:autoSpaceDN w:val="0"/>
              <w:spacing w:line="520" w:lineRule="exact"/>
              <w:jc w:val="right"/>
              <w:rPr>
                <w:rFonts w:ascii="標楷體" w:eastAsia="標楷體" w:hAnsi="標楷體" w:cs="DFKaiShu-SB-Estd-BF"/>
                <w:sz w:val="24"/>
                <w:szCs w:val="24"/>
              </w:rPr>
            </w:pPr>
            <w:r w:rsidRPr="003F4D66">
              <w:rPr>
                <w:rFonts w:ascii="標楷體" w:eastAsia="標楷體" w:hAnsi="標楷體" w:cs="DFKaiShu-SB-Estd-BF"/>
                <w:sz w:val="24"/>
                <w:szCs w:val="24"/>
              </w:rPr>
              <w:t>28,869,999</w:t>
            </w:r>
          </w:p>
        </w:tc>
      </w:tr>
      <w:tr w:rsidR="00B05DA0" w:rsidRPr="003F4D66" w14:paraId="286FFAB8" w14:textId="77777777" w:rsidTr="007935CB">
        <w:trPr>
          <w:jc w:val="right"/>
        </w:trPr>
        <w:tc>
          <w:tcPr>
            <w:tcW w:w="2547" w:type="dxa"/>
          </w:tcPr>
          <w:p w14:paraId="5ED0307E" w14:textId="77777777" w:rsidR="00B05DA0" w:rsidRPr="003F4D66" w:rsidRDefault="00B05DA0" w:rsidP="00B05DA0">
            <w:pPr>
              <w:autoSpaceDE w:val="0"/>
              <w:autoSpaceDN w:val="0"/>
              <w:spacing w:line="400" w:lineRule="exact"/>
              <w:rPr>
                <w:rFonts w:ascii="標楷體" w:eastAsia="標楷體" w:hAnsi="標楷體"/>
                <w:sz w:val="24"/>
                <w:szCs w:val="24"/>
              </w:rPr>
            </w:pPr>
            <w:r w:rsidRPr="003F4D66">
              <w:rPr>
                <w:rFonts w:ascii="標楷體" w:eastAsia="標楷體" w:hAnsi="標楷體" w:cs="DFKaiShu-SB-Estd-BF" w:hint="eastAsia"/>
                <w:kern w:val="0"/>
                <w:sz w:val="24"/>
                <w:szCs w:val="24"/>
              </w:rPr>
              <w:t>按攤銷後成本衡量之金融資產-非流動息</w:t>
            </w:r>
          </w:p>
        </w:tc>
        <w:tc>
          <w:tcPr>
            <w:tcW w:w="2410" w:type="dxa"/>
          </w:tcPr>
          <w:p w14:paraId="73E1307B"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r w:rsidRPr="003F4D66">
              <w:rPr>
                <w:rFonts w:ascii="標楷體" w:eastAsia="標楷體" w:hAnsi="標楷體" w:cs="DFKaiShu-SB-Estd-BF" w:hint="eastAsia"/>
                <w:kern w:val="0"/>
                <w:sz w:val="24"/>
                <w:szCs w:val="24"/>
              </w:rPr>
              <w:t>1</w:t>
            </w:r>
            <w:r w:rsidRPr="003F4D66">
              <w:rPr>
                <w:rFonts w:ascii="標楷體" w:eastAsia="標楷體" w:hAnsi="標楷體" w:cs="DFKaiShu-SB-Estd-BF"/>
                <w:kern w:val="0"/>
                <w:sz w:val="24"/>
                <w:szCs w:val="24"/>
              </w:rPr>
              <w:t>3,418,960,000</w:t>
            </w:r>
          </w:p>
        </w:tc>
        <w:tc>
          <w:tcPr>
            <w:tcW w:w="1417" w:type="dxa"/>
          </w:tcPr>
          <w:p w14:paraId="210DCF4E"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r w:rsidRPr="003F4D66">
              <w:rPr>
                <w:rFonts w:ascii="標楷體" w:eastAsia="標楷體" w:hAnsi="標楷體" w:cs="DFKaiShu-SB-Estd-BF" w:hint="eastAsia"/>
                <w:kern w:val="0"/>
                <w:sz w:val="24"/>
                <w:szCs w:val="24"/>
              </w:rPr>
              <w:t>1</w:t>
            </w:r>
            <w:r w:rsidRPr="003F4D66">
              <w:rPr>
                <w:rFonts w:ascii="標楷體" w:eastAsia="標楷體" w:hAnsi="標楷體" w:cs="DFKaiShu-SB-Estd-BF"/>
                <w:kern w:val="0"/>
                <w:sz w:val="24"/>
                <w:szCs w:val="24"/>
              </w:rPr>
              <w:t>.75%</w:t>
            </w:r>
          </w:p>
        </w:tc>
        <w:tc>
          <w:tcPr>
            <w:tcW w:w="1606" w:type="dxa"/>
          </w:tcPr>
          <w:p w14:paraId="29D6971D" w14:textId="77777777" w:rsidR="00B05DA0" w:rsidRPr="003F4D66" w:rsidRDefault="00B05DA0" w:rsidP="00496B91">
            <w:pPr>
              <w:autoSpaceDE w:val="0"/>
              <w:autoSpaceDN w:val="0"/>
              <w:spacing w:line="520" w:lineRule="exact"/>
              <w:jc w:val="right"/>
              <w:rPr>
                <w:rFonts w:ascii="標楷體" w:eastAsia="標楷體" w:hAnsi="標楷體" w:cs="DFKaiShu-SB-Estd-BF"/>
                <w:sz w:val="24"/>
                <w:szCs w:val="24"/>
              </w:rPr>
            </w:pPr>
            <w:r w:rsidRPr="003F4D66">
              <w:rPr>
                <w:rFonts w:ascii="標楷體" w:eastAsia="標楷體" w:hAnsi="標楷體" w:cs="DFKaiShu-SB-Estd-BF"/>
                <w:sz w:val="24"/>
                <w:szCs w:val="24"/>
              </w:rPr>
              <w:t>234,862,781</w:t>
            </w:r>
          </w:p>
        </w:tc>
      </w:tr>
      <w:tr w:rsidR="00B05DA0" w:rsidRPr="003F4D66" w14:paraId="22B3C354" w14:textId="77777777" w:rsidTr="007935CB">
        <w:trPr>
          <w:jc w:val="right"/>
        </w:trPr>
        <w:tc>
          <w:tcPr>
            <w:tcW w:w="2547" w:type="dxa"/>
          </w:tcPr>
          <w:p w14:paraId="6AF22DBF" w14:textId="77777777" w:rsidR="00B05DA0" w:rsidRPr="003F4D66" w:rsidRDefault="00B05DA0" w:rsidP="00B05DA0">
            <w:pPr>
              <w:autoSpaceDE w:val="0"/>
              <w:autoSpaceDN w:val="0"/>
              <w:spacing w:line="520" w:lineRule="exact"/>
              <w:rPr>
                <w:rFonts w:ascii="標楷體" w:eastAsia="標楷體" w:hAnsi="標楷體" w:cs="DFKaiShu-SB-Estd-BF"/>
                <w:kern w:val="0"/>
                <w:sz w:val="24"/>
                <w:szCs w:val="24"/>
              </w:rPr>
            </w:pPr>
            <w:r w:rsidRPr="003F4D66">
              <w:rPr>
                <w:rFonts w:ascii="標楷體" w:eastAsia="標楷體" w:hAnsi="標楷體" w:cs="DFKaiShu-SB-Estd-BF" w:hint="eastAsia"/>
                <w:kern w:val="0"/>
                <w:sz w:val="24"/>
                <w:szCs w:val="24"/>
              </w:rPr>
              <w:t>外匯融通息</w:t>
            </w:r>
          </w:p>
        </w:tc>
        <w:tc>
          <w:tcPr>
            <w:tcW w:w="2410" w:type="dxa"/>
          </w:tcPr>
          <w:p w14:paraId="67D1EE79"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r w:rsidRPr="003F4D66">
              <w:rPr>
                <w:rFonts w:ascii="標楷體" w:eastAsia="標楷體" w:hAnsi="標楷體" w:cs="DFKaiShu-SB-Estd-BF"/>
                <w:kern w:val="0"/>
                <w:sz w:val="24"/>
                <w:szCs w:val="24"/>
              </w:rPr>
              <w:t>229,943,010</w:t>
            </w:r>
          </w:p>
        </w:tc>
        <w:tc>
          <w:tcPr>
            <w:tcW w:w="1417" w:type="dxa"/>
          </w:tcPr>
          <w:p w14:paraId="7BB67BFC"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r w:rsidRPr="003F4D66">
              <w:rPr>
                <w:rFonts w:ascii="標楷體" w:eastAsia="標楷體" w:hAnsi="標楷體" w:cs="DFKaiShu-SB-Estd-BF"/>
                <w:kern w:val="0"/>
                <w:sz w:val="24"/>
                <w:szCs w:val="24"/>
              </w:rPr>
              <w:t>0.23%</w:t>
            </w:r>
          </w:p>
        </w:tc>
        <w:tc>
          <w:tcPr>
            <w:tcW w:w="1606" w:type="dxa"/>
          </w:tcPr>
          <w:p w14:paraId="22BF5F32"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r w:rsidRPr="003F4D66">
              <w:rPr>
                <w:rFonts w:ascii="標楷體" w:eastAsia="標楷體" w:hAnsi="標楷體" w:cs="DFKaiShu-SB-Estd-BF"/>
                <w:kern w:val="0"/>
                <w:sz w:val="24"/>
                <w:szCs w:val="24"/>
              </w:rPr>
              <w:t>534,555</w:t>
            </w:r>
          </w:p>
        </w:tc>
      </w:tr>
      <w:tr w:rsidR="00B05DA0" w:rsidRPr="003F4D66" w14:paraId="5025DA7F" w14:textId="77777777" w:rsidTr="007935CB">
        <w:trPr>
          <w:jc w:val="right"/>
        </w:trPr>
        <w:tc>
          <w:tcPr>
            <w:tcW w:w="2547" w:type="dxa"/>
          </w:tcPr>
          <w:p w14:paraId="65592FE6" w14:textId="77777777" w:rsidR="00B05DA0" w:rsidRPr="003F4D66" w:rsidRDefault="00B05DA0" w:rsidP="00B05DA0">
            <w:pPr>
              <w:autoSpaceDE w:val="0"/>
              <w:autoSpaceDN w:val="0"/>
              <w:spacing w:line="520" w:lineRule="exact"/>
              <w:rPr>
                <w:rFonts w:ascii="標楷體" w:eastAsia="標楷體" w:hAnsi="標楷體" w:cs="DFKaiShu-SB-Estd-BF"/>
                <w:kern w:val="0"/>
                <w:sz w:val="24"/>
                <w:szCs w:val="24"/>
              </w:rPr>
            </w:pPr>
            <w:r w:rsidRPr="003F4D66">
              <w:rPr>
                <w:rFonts w:ascii="標楷體" w:eastAsia="標楷體" w:hAnsi="標楷體" w:cs="DFKaiShu-SB-Estd-BF" w:hint="eastAsia"/>
                <w:kern w:val="0"/>
                <w:sz w:val="24"/>
                <w:szCs w:val="24"/>
              </w:rPr>
              <w:t>放款融通息</w:t>
            </w:r>
          </w:p>
        </w:tc>
        <w:tc>
          <w:tcPr>
            <w:tcW w:w="2410" w:type="dxa"/>
          </w:tcPr>
          <w:p w14:paraId="298F8836"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r w:rsidRPr="003F4D66">
              <w:rPr>
                <w:rFonts w:ascii="標楷體" w:eastAsia="標楷體" w:hAnsi="標楷體" w:cs="DFKaiShu-SB-Estd-BF"/>
                <w:kern w:val="0"/>
                <w:sz w:val="24"/>
                <w:szCs w:val="24"/>
              </w:rPr>
              <w:t>150,000,000</w:t>
            </w:r>
          </w:p>
        </w:tc>
        <w:tc>
          <w:tcPr>
            <w:tcW w:w="1417" w:type="dxa"/>
          </w:tcPr>
          <w:p w14:paraId="02694A8D"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r w:rsidRPr="003F4D66">
              <w:rPr>
                <w:rFonts w:ascii="標楷體" w:eastAsia="標楷體" w:hAnsi="標楷體" w:cs="DFKaiShu-SB-Estd-BF"/>
                <w:kern w:val="0"/>
                <w:sz w:val="24"/>
                <w:szCs w:val="24"/>
              </w:rPr>
              <w:t>0.10%</w:t>
            </w:r>
          </w:p>
        </w:tc>
        <w:tc>
          <w:tcPr>
            <w:tcW w:w="1606" w:type="dxa"/>
          </w:tcPr>
          <w:p w14:paraId="1C5DA8EA"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r w:rsidRPr="003F4D66">
              <w:rPr>
                <w:rFonts w:ascii="標楷體" w:eastAsia="標楷體" w:hAnsi="標楷體" w:cs="DFKaiShu-SB-Estd-BF"/>
                <w:kern w:val="0"/>
                <w:sz w:val="24"/>
                <w:szCs w:val="24"/>
              </w:rPr>
              <w:t>150,000</w:t>
            </w:r>
          </w:p>
        </w:tc>
      </w:tr>
      <w:tr w:rsidR="00B05DA0" w:rsidRPr="003F4D66" w14:paraId="206279AA" w14:textId="77777777" w:rsidTr="007935CB">
        <w:trPr>
          <w:jc w:val="right"/>
        </w:trPr>
        <w:tc>
          <w:tcPr>
            <w:tcW w:w="2547" w:type="dxa"/>
          </w:tcPr>
          <w:p w14:paraId="573C2189" w14:textId="77777777" w:rsidR="00B05DA0" w:rsidRPr="003F4D66" w:rsidRDefault="00B05DA0" w:rsidP="00B05DA0">
            <w:pPr>
              <w:autoSpaceDE w:val="0"/>
              <w:autoSpaceDN w:val="0"/>
              <w:spacing w:line="400" w:lineRule="exact"/>
              <w:rPr>
                <w:rFonts w:ascii="標楷體" w:eastAsia="標楷體" w:hAnsi="標楷體" w:cs="DFKaiShu-SB-Estd-BF"/>
                <w:kern w:val="0"/>
                <w:sz w:val="24"/>
                <w:szCs w:val="24"/>
              </w:rPr>
            </w:pPr>
            <w:r w:rsidRPr="003F4D66">
              <w:rPr>
                <w:rFonts w:ascii="標楷體" w:eastAsia="標楷體" w:hAnsi="標楷體" w:cs="DFKaiShu-SB-Estd-BF" w:hint="eastAsia"/>
                <w:kern w:val="0"/>
                <w:sz w:val="24"/>
                <w:szCs w:val="24"/>
              </w:rPr>
              <w:t>附賣回票券及債券投資息</w:t>
            </w:r>
          </w:p>
        </w:tc>
        <w:tc>
          <w:tcPr>
            <w:tcW w:w="2410" w:type="dxa"/>
          </w:tcPr>
          <w:p w14:paraId="38DF7816" w14:textId="77777777" w:rsidR="00B05DA0" w:rsidRPr="003F4D66" w:rsidRDefault="00B05DA0" w:rsidP="00496B91">
            <w:pPr>
              <w:autoSpaceDE w:val="0"/>
              <w:autoSpaceDN w:val="0"/>
              <w:spacing w:line="400" w:lineRule="exact"/>
              <w:jc w:val="right"/>
              <w:rPr>
                <w:rFonts w:ascii="標楷體" w:eastAsia="標楷體" w:hAnsi="標楷體" w:cs="DFKaiShu-SB-Estd-BF"/>
                <w:kern w:val="0"/>
                <w:sz w:val="24"/>
                <w:szCs w:val="24"/>
              </w:rPr>
            </w:pPr>
            <w:r w:rsidRPr="003F4D66">
              <w:rPr>
                <w:rFonts w:ascii="標楷體" w:eastAsia="標楷體" w:hAnsi="標楷體" w:cs="DFKaiShu-SB-Estd-BF"/>
                <w:kern w:val="0"/>
                <w:sz w:val="24"/>
                <w:szCs w:val="24"/>
              </w:rPr>
              <w:t>1,000,000</w:t>
            </w:r>
          </w:p>
        </w:tc>
        <w:tc>
          <w:tcPr>
            <w:tcW w:w="1417" w:type="dxa"/>
          </w:tcPr>
          <w:p w14:paraId="700EAC5F" w14:textId="77777777" w:rsidR="00B05DA0" w:rsidRPr="003F4D66" w:rsidRDefault="00B05DA0" w:rsidP="00496B91">
            <w:pPr>
              <w:autoSpaceDE w:val="0"/>
              <w:autoSpaceDN w:val="0"/>
              <w:spacing w:line="400" w:lineRule="exact"/>
              <w:jc w:val="right"/>
              <w:rPr>
                <w:rFonts w:ascii="標楷體" w:eastAsia="標楷體" w:hAnsi="標楷體" w:cs="DFKaiShu-SB-Estd-BF"/>
                <w:kern w:val="0"/>
                <w:sz w:val="24"/>
                <w:szCs w:val="24"/>
              </w:rPr>
            </w:pPr>
            <w:r w:rsidRPr="003F4D66">
              <w:rPr>
                <w:rFonts w:ascii="標楷體" w:eastAsia="標楷體" w:hAnsi="標楷體" w:cs="DFKaiShu-SB-Estd-BF"/>
                <w:kern w:val="0"/>
                <w:sz w:val="24"/>
                <w:szCs w:val="24"/>
              </w:rPr>
              <w:t>0.24%</w:t>
            </w:r>
          </w:p>
        </w:tc>
        <w:tc>
          <w:tcPr>
            <w:tcW w:w="1606" w:type="dxa"/>
          </w:tcPr>
          <w:p w14:paraId="7DF7A42E" w14:textId="77777777" w:rsidR="00B05DA0" w:rsidRPr="003F4D66" w:rsidRDefault="00B05DA0" w:rsidP="00496B91">
            <w:pPr>
              <w:autoSpaceDE w:val="0"/>
              <w:autoSpaceDN w:val="0"/>
              <w:spacing w:line="400" w:lineRule="exact"/>
              <w:jc w:val="right"/>
              <w:rPr>
                <w:rFonts w:ascii="標楷體" w:eastAsia="標楷體" w:hAnsi="標楷體" w:cs="DFKaiShu-SB-Estd-BF"/>
                <w:kern w:val="0"/>
                <w:sz w:val="24"/>
                <w:szCs w:val="24"/>
              </w:rPr>
            </w:pPr>
            <w:r w:rsidRPr="003F4D66">
              <w:rPr>
                <w:rFonts w:ascii="標楷體" w:eastAsia="標楷體" w:hAnsi="標楷體" w:cs="DFKaiShu-SB-Estd-BF"/>
                <w:kern w:val="0"/>
                <w:sz w:val="24"/>
                <w:szCs w:val="24"/>
              </w:rPr>
              <w:t>2,350</w:t>
            </w:r>
          </w:p>
        </w:tc>
      </w:tr>
      <w:tr w:rsidR="00B05DA0" w:rsidRPr="003F4D66" w14:paraId="1CFD3213" w14:textId="77777777" w:rsidTr="007935CB">
        <w:trPr>
          <w:jc w:val="right"/>
        </w:trPr>
        <w:tc>
          <w:tcPr>
            <w:tcW w:w="2547" w:type="dxa"/>
          </w:tcPr>
          <w:p w14:paraId="7CE23975" w14:textId="77777777" w:rsidR="00B05DA0" w:rsidRPr="003F4D66" w:rsidRDefault="00B05DA0" w:rsidP="00B05DA0">
            <w:pPr>
              <w:autoSpaceDE w:val="0"/>
              <w:autoSpaceDN w:val="0"/>
              <w:spacing w:line="520" w:lineRule="exact"/>
              <w:rPr>
                <w:rFonts w:ascii="標楷體" w:eastAsia="標楷體" w:hAnsi="標楷體" w:cs="DFKaiShu-SB-Estd-BF"/>
                <w:kern w:val="0"/>
                <w:sz w:val="24"/>
                <w:szCs w:val="24"/>
              </w:rPr>
            </w:pPr>
            <w:r w:rsidRPr="003F4D66">
              <w:rPr>
                <w:rFonts w:ascii="標楷體" w:eastAsia="標楷體" w:hAnsi="標楷體" w:cs="DFKaiShu-SB-Estd-BF" w:hint="eastAsia"/>
                <w:kern w:val="0"/>
                <w:sz w:val="24"/>
                <w:szCs w:val="24"/>
              </w:rPr>
              <w:t>擔保透支息</w:t>
            </w:r>
          </w:p>
        </w:tc>
        <w:tc>
          <w:tcPr>
            <w:tcW w:w="2410" w:type="dxa"/>
          </w:tcPr>
          <w:p w14:paraId="0DC34162"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r w:rsidRPr="003F4D66">
              <w:rPr>
                <w:rFonts w:ascii="標楷體" w:eastAsia="標楷體" w:hAnsi="標楷體" w:cs="DFKaiShu-SB-Estd-BF"/>
                <w:kern w:val="0"/>
                <w:sz w:val="24"/>
                <w:szCs w:val="24"/>
              </w:rPr>
              <w:t>210,367</w:t>
            </w:r>
          </w:p>
        </w:tc>
        <w:tc>
          <w:tcPr>
            <w:tcW w:w="1417" w:type="dxa"/>
          </w:tcPr>
          <w:p w14:paraId="16AFF417"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r w:rsidRPr="003F4D66">
              <w:rPr>
                <w:rFonts w:ascii="標楷體" w:eastAsia="標楷體" w:hAnsi="標楷體" w:cs="DFKaiShu-SB-Estd-BF"/>
                <w:kern w:val="0"/>
                <w:sz w:val="24"/>
                <w:szCs w:val="24"/>
              </w:rPr>
              <w:t>1.62%</w:t>
            </w:r>
          </w:p>
        </w:tc>
        <w:tc>
          <w:tcPr>
            <w:tcW w:w="1606" w:type="dxa"/>
          </w:tcPr>
          <w:p w14:paraId="7733E5A0"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r w:rsidRPr="003F4D66">
              <w:rPr>
                <w:rFonts w:ascii="標楷體" w:eastAsia="標楷體" w:hAnsi="標楷體" w:cs="DFKaiShu-SB-Estd-BF"/>
                <w:kern w:val="0"/>
                <w:sz w:val="24"/>
                <w:szCs w:val="24"/>
              </w:rPr>
              <w:t>3,418</w:t>
            </w:r>
          </w:p>
        </w:tc>
      </w:tr>
      <w:tr w:rsidR="00B05DA0" w:rsidRPr="003F4D66" w14:paraId="613B1EDE" w14:textId="77777777" w:rsidTr="007935CB">
        <w:trPr>
          <w:jc w:val="right"/>
        </w:trPr>
        <w:tc>
          <w:tcPr>
            <w:tcW w:w="2547" w:type="dxa"/>
          </w:tcPr>
          <w:p w14:paraId="3876BBA0" w14:textId="77777777" w:rsidR="00B05DA0" w:rsidRPr="003F4D66" w:rsidRDefault="00B05DA0" w:rsidP="00B05DA0">
            <w:pPr>
              <w:autoSpaceDE w:val="0"/>
              <w:autoSpaceDN w:val="0"/>
              <w:spacing w:line="520" w:lineRule="exact"/>
              <w:rPr>
                <w:rFonts w:ascii="標楷體" w:eastAsia="標楷體" w:hAnsi="標楷體" w:cs="DFKaiShu-SB-Estd-BF"/>
                <w:kern w:val="0"/>
                <w:sz w:val="24"/>
                <w:szCs w:val="24"/>
              </w:rPr>
            </w:pPr>
            <w:r w:rsidRPr="003F4D66">
              <w:rPr>
                <w:rFonts w:ascii="標楷體" w:eastAsia="標楷體" w:hAnsi="標楷體" w:cs="DFKaiShu-SB-Estd-BF" w:hint="eastAsia"/>
                <w:kern w:val="0"/>
                <w:sz w:val="24"/>
                <w:szCs w:val="24"/>
              </w:rPr>
              <w:t>雜項息</w:t>
            </w:r>
          </w:p>
        </w:tc>
        <w:tc>
          <w:tcPr>
            <w:tcW w:w="2410" w:type="dxa"/>
          </w:tcPr>
          <w:p w14:paraId="3E08AFDC"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p>
        </w:tc>
        <w:tc>
          <w:tcPr>
            <w:tcW w:w="1417" w:type="dxa"/>
          </w:tcPr>
          <w:p w14:paraId="6E4F5061"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p>
        </w:tc>
        <w:tc>
          <w:tcPr>
            <w:tcW w:w="1606" w:type="dxa"/>
          </w:tcPr>
          <w:p w14:paraId="73CB81AF"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r w:rsidRPr="003F4D66">
              <w:rPr>
                <w:rFonts w:ascii="標楷體" w:eastAsia="標楷體" w:hAnsi="標楷體" w:cs="DFKaiShu-SB-Estd-BF"/>
                <w:kern w:val="0"/>
                <w:sz w:val="24"/>
                <w:szCs w:val="24"/>
              </w:rPr>
              <w:t>5,424</w:t>
            </w:r>
          </w:p>
        </w:tc>
      </w:tr>
      <w:tr w:rsidR="00B05DA0" w:rsidRPr="003F4D66" w14:paraId="59D14080" w14:textId="77777777" w:rsidTr="007935CB">
        <w:trPr>
          <w:jc w:val="right"/>
        </w:trPr>
        <w:tc>
          <w:tcPr>
            <w:tcW w:w="2547" w:type="dxa"/>
          </w:tcPr>
          <w:p w14:paraId="341C1413" w14:textId="77777777" w:rsidR="00B05DA0" w:rsidRPr="003F4D66" w:rsidRDefault="00B05DA0" w:rsidP="00B05DA0">
            <w:pPr>
              <w:autoSpaceDE w:val="0"/>
              <w:autoSpaceDN w:val="0"/>
              <w:spacing w:line="520" w:lineRule="exact"/>
              <w:jc w:val="center"/>
              <w:rPr>
                <w:rFonts w:ascii="標楷體" w:eastAsia="標楷體" w:hAnsi="標楷體" w:cs="DFKaiShu-SB-Estd-BF"/>
                <w:kern w:val="0"/>
                <w:sz w:val="24"/>
                <w:szCs w:val="24"/>
              </w:rPr>
            </w:pPr>
            <w:r w:rsidRPr="003F4D66">
              <w:rPr>
                <w:rFonts w:ascii="標楷體" w:eastAsia="標楷體" w:hAnsi="標楷體" w:cs="DFKaiShu-SB-Estd-BF" w:hint="eastAsia"/>
                <w:kern w:val="0"/>
                <w:sz w:val="24"/>
                <w:szCs w:val="24"/>
              </w:rPr>
              <w:t>合計</w:t>
            </w:r>
          </w:p>
        </w:tc>
        <w:tc>
          <w:tcPr>
            <w:tcW w:w="2410" w:type="dxa"/>
          </w:tcPr>
          <w:p w14:paraId="343AE62F"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r w:rsidRPr="003F4D66">
              <w:rPr>
                <w:rFonts w:ascii="標楷體" w:eastAsia="標楷體" w:hAnsi="標楷體" w:cs="DFKaiShu-SB-Estd-BF"/>
                <w:kern w:val="0"/>
                <w:sz w:val="24"/>
                <w:szCs w:val="24"/>
              </w:rPr>
              <w:t>15,147,737,377</w:t>
            </w:r>
          </w:p>
        </w:tc>
        <w:tc>
          <w:tcPr>
            <w:tcW w:w="1417" w:type="dxa"/>
          </w:tcPr>
          <w:p w14:paraId="529D6547"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p>
        </w:tc>
        <w:tc>
          <w:tcPr>
            <w:tcW w:w="1606" w:type="dxa"/>
          </w:tcPr>
          <w:p w14:paraId="7B432437" w14:textId="77777777" w:rsidR="00B05DA0" w:rsidRPr="003F4D66" w:rsidRDefault="00B05DA0" w:rsidP="00496B91">
            <w:pPr>
              <w:autoSpaceDE w:val="0"/>
              <w:autoSpaceDN w:val="0"/>
              <w:spacing w:line="520" w:lineRule="exact"/>
              <w:jc w:val="right"/>
              <w:rPr>
                <w:rFonts w:ascii="標楷體" w:eastAsia="標楷體" w:hAnsi="標楷體" w:cs="DFKaiShu-SB-Estd-BF"/>
                <w:kern w:val="0"/>
                <w:sz w:val="24"/>
                <w:szCs w:val="24"/>
              </w:rPr>
            </w:pPr>
            <w:r w:rsidRPr="003F4D66">
              <w:rPr>
                <w:rFonts w:ascii="標楷體" w:eastAsia="標楷體" w:hAnsi="標楷體" w:cs="DFKaiShu-SB-Estd-BF"/>
                <w:kern w:val="0"/>
                <w:sz w:val="24"/>
                <w:szCs w:val="24"/>
              </w:rPr>
              <w:t>264,428,527</w:t>
            </w:r>
          </w:p>
        </w:tc>
      </w:tr>
    </w:tbl>
    <w:p w14:paraId="4BA44557" w14:textId="77777777" w:rsidR="00B05DA0" w:rsidRPr="00B05DA0" w:rsidRDefault="00B05DA0" w:rsidP="00B05DA0">
      <w:pPr>
        <w:adjustRightInd/>
        <w:snapToGrid/>
        <w:ind w:leftChars="300" w:left="960" w:firstLineChars="190" w:firstLine="609"/>
        <w:jc w:val="both"/>
        <w:outlineLvl w:val="0"/>
        <w:rPr>
          <w:rFonts w:ascii="標楷體" w:eastAsia="標楷體" w:hAnsi="標楷體"/>
          <w:color w:val="000000" w:themeColor="text1"/>
        </w:rPr>
      </w:pPr>
      <w:r w:rsidRPr="00B05DA0">
        <w:rPr>
          <w:rFonts w:ascii="標楷體" w:eastAsia="標楷體" w:hAnsi="標楷體" w:hint="eastAsia"/>
          <w:b/>
        </w:rPr>
        <w:t xml:space="preserve">　　　　　　</w:t>
      </w:r>
      <w:r w:rsidRPr="00B05DA0">
        <w:rPr>
          <w:rFonts w:ascii="標楷體" w:eastAsia="標楷體" w:hAnsi="標楷體" w:hint="eastAsia"/>
          <w:color w:val="000000" w:themeColor="text1"/>
        </w:rPr>
        <w:t xml:space="preserve">提案人：李貴敏　張其祿　林德福　</w:t>
      </w:r>
      <w:r w:rsidRPr="00B05DA0">
        <w:rPr>
          <w:rFonts w:ascii="標楷體" w:eastAsia="標楷體" w:hAnsi="標楷體" w:hint="eastAsia"/>
        </w:rPr>
        <w:t>羅明才</w:t>
      </w:r>
    </w:p>
    <w:p w14:paraId="78050872" w14:textId="77777777" w:rsidR="00B05DA0" w:rsidRPr="00B05DA0" w:rsidRDefault="00B05DA0" w:rsidP="00B05DA0">
      <w:pPr>
        <w:adjustRightInd/>
        <w:snapToGrid/>
        <w:ind w:leftChars="300" w:left="960" w:firstLineChars="190" w:firstLine="609"/>
        <w:jc w:val="both"/>
        <w:outlineLvl w:val="0"/>
        <w:rPr>
          <w:rFonts w:ascii="標楷體" w:eastAsia="標楷體" w:hAnsi="標楷體"/>
          <w:color w:val="000000" w:themeColor="text1"/>
        </w:rPr>
      </w:pPr>
      <w:r w:rsidRPr="00B05DA0">
        <w:rPr>
          <w:rFonts w:ascii="標楷體" w:eastAsia="標楷體" w:hAnsi="標楷體" w:hint="eastAsia"/>
          <w:b/>
        </w:rPr>
        <w:t xml:space="preserve">　　　　　　　　　　</w:t>
      </w:r>
      <w:r w:rsidRPr="00B05DA0">
        <w:rPr>
          <w:rFonts w:ascii="標楷體" w:eastAsia="標楷體" w:hAnsi="標楷體" w:hint="eastAsia"/>
          <w:color w:val="000000" w:themeColor="text1"/>
        </w:rPr>
        <w:t>曾銘宗</w:t>
      </w:r>
    </w:p>
    <w:p w14:paraId="7422088E" w14:textId="6355364B" w:rsidR="00B05DA0" w:rsidRPr="00B05DA0" w:rsidRDefault="003E3F83"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23</w:t>
      </w:r>
      <w:r w:rsidR="00B05DA0" w:rsidRPr="00B05DA0">
        <w:rPr>
          <w:rFonts w:ascii="標楷體" w:eastAsia="標楷體" w:hAnsi="標楷體" w:hint="eastAsia"/>
        </w:rPr>
        <w:t>.111年度中央銀行外幣資產投資預計營運量為13兆8,340億3,800萬元，包括自行經營之長期債券投資13兆4,189億6,000萬元及委外經營之信託投資4,150億7,800萬元，較110年度之13兆6,517億1,500萬元，增加1,823億2,300萬元，增幅1.34%。中央銀行將部分外匯資產委由其他金融機構代為操作投資，然未擬定相關委託經營辦法，適法性恐有未足，揆諸現行中央政府設置之社會保險及退休保</w:t>
      </w:r>
      <w:r w:rsidR="00B05DA0" w:rsidRPr="00B05DA0">
        <w:rPr>
          <w:rFonts w:ascii="標楷體" w:eastAsia="標楷體" w:hAnsi="標楷體" w:hint="eastAsia"/>
        </w:rPr>
        <w:lastRenderedPageBreak/>
        <w:t>險基金對於基金之投資多有委外辦理之情形，然其委託皆訂有相關規定藉以規範委託經營應遵循之事項，包括委託經營比例、運用範圍、受託經營與保管機構應具備資格條件，及各委外機構之選定程序等。爰此，中央銀行應積極研擬相關委託經營辦法，並於1個月內向立法院財政委員會提出</w:t>
      </w:r>
      <w:r w:rsidR="00B05DA0" w:rsidRPr="003F4D66">
        <w:rPr>
          <w:rFonts w:ascii="標楷體" w:eastAsia="標楷體" w:hAnsi="標楷體" w:hint="eastAsia"/>
        </w:rPr>
        <w:t>書面</w:t>
      </w:r>
      <w:r w:rsidR="00B05DA0" w:rsidRPr="00B05DA0">
        <w:rPr>
          <w:rFonts w:ascii="標楷體" w:eastAsia="標楷體" w:hAnsi="標楷體" w:hint="eastAsia"/>
        </w:rPr>
        <w:t>報告。</w:t>
      </w:r>
    </w:p>
    <w:p w14:paraId="58AF1543"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提案人：李貴敏　張其祿　林德福　曾銘宗</w:t>
      </w:r>
    </w:p>
    <w:p w14:paraId="4FCF97E9" w14:textId="745403B6" w:rsidR="00B05DA0" w:rsidRPr="00B05DA0" w:rsidRDefault="003E3F83"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24</w:t>
      </w:r>
      <w:r w:rsidR="00B05DA0" w:rsidRPr="00B05DA0">
        <w:rPr>
          <w:rFonts w:ascii="標楷體" w:eastAsia="標楷體" w:hAnsi="標楷體" w:hint="eastAsia"/>
        </w:rPr>
        <w:t>.有鑑於國內資金充裕，因疫情期間投資</w:t>
      </w:r>
      <w:r w:rsidR="00BC5A94">
        <w:rPr>
          <w:rFonts w:ascii="標楷體" w:eastAsia="標楷體" w:hAnsi="標楷體" w:hint="eastAsia"/>
        </w:rPr>
        <w:t>卻</w:t>
      </w:r>
      <w:r w:rsidR="00B05DA0" w:rsidRPr="00B05DA0">
        <w:rPr>
          <w:rFonts w:ascii="標楷體" w:eastAsia="標楷體" w:hAnsi="標楷體" w:cs="華康楷書體W5" w:hint="eastAsia"/>
        </w:rPr>
        <w:t>步，惟資金到處流竄衍生國內不動產房地高漲，進而造成物價上漲因素</w:t>
      </w:r>
      <w:r w:rsidR="00B05DA0" w:rsidRPr="00B05DA0">
        <w:rPr>
          <w:rFonts w:ascii="標楷體" w:eastAsia="標楷體" w:hAnsi="標楷體" w:hint="eastAsia"/>
        </w:rPr>
        <w:t>之一，然物價穩定係全球多數中央銀行的職責。爰要求中央銀行研究增加長天期定存單發行量及調整定存單利率空間，以持續將資金從短期導入長期，有效回收市場餘裕資金及穩</w:t>
      </w:r>
      <w:r w:rsidR="00B05DA0" w:rsidRPr="00B05DA0">
        <w:rPr>
          <w:rFonts w:ascii="標楷體" w:eastAsia="標楷體" w:hAnsi="標楷體" w:cs="華康楷書體W5" w:hint="eastAsia"/>
        </w:rPr>
        <w:t>定國內物價，並於1個月內向立法院財政委員會提出書面報告</w:t>
      </w:r>
      <w:r w:rsidR="00B05DA0" w:rsidRPr="00B05DA0">
        <w:rPr>
          <w:rFonts w:ascii="標楷體" w:eastAsia="標楷體" w:hAnsi="標楷體" w:hint="eastAsia"/>
        </w:rPr>
        <w:t>。</w:t>
      </w:r>
    </w:p>
    <w:p w14:paraId="6A03A70D"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提案人：賴士葆　張其祿　羅明才</w:t>
      </w:r>
    </w:p>
    <w:p w14:paraId="292C7CA9" w14:textId="50E2DB8B" w:rsidR="00B05DA0" w:rsidRPr="00B05DA0" w:rsidRDefault="003E3F83"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25</w:t>
      </w:r>
      <w:r w:rsidR="00B05DA0" w:rsidRPr="00B05DA0">
        <w:rPr>
          <w:rFonts w:ascii="標楷體" w:eastAsia="標楷體" w:hAnsi="標楷體" w:hint="eastAsia"/>
        </w:rPr>
        <w:t>.有鑑於中央銀行協助政府推動行動支付發展，財金資訊股份有限公司訂定行動支付「QR Code共通支付標準」上線以來，交易量及交易金額逐年成長。惟因國內行動支付規格無法互通，個別商家與個別支付業者介接不便，導致商店管理成本高、民眾難以辨識等問題。根據財團法人資訊工業策進會產業情報研究所進行之「2020年下半年行動支付消費者調查」報告中指出，109上半年由於疫情之故，消費者常用交易方式行動支付(60.3%)仍低於實體卡(76.3%)及現金(75.5%)，卻首度超越實體電子票證(54.8%)；另於商家支援付款條件下，消費者優先選擇行動支付之比率已從107年的22.9%上升至109下半年的37.2%，已超越實體卡34.5%、現金18.8%與電子票證8.9%。據中央銀行統計資料，QR Code共通支付標準自106年交易金額8億元增至110年1,087億元，顯見消費者對行動支付之青睞度有持續成長，</w:t>
      </w:r>
      <w:r w:rsidR="00B05DA0" w:rsidRPr="00B05DA0">
        <w:rPr>
          <w:rFonts w:ascii="標楷體" w:eastAsia="標楷體" w:hAnsi="標楷體" w:hint="eastAsia"/>
        </w:rPr>
        <w:lastRenderedPageBreak/>
        <w:t>為活絡行動支付市場，爰要求中央銀行及財金資訊股份有限公司掌握後疫情時期之行動支付商機，積極推展行動支付服務、擴大生態圈，以提升執行成效。</w:t>
      </w:r>
    </w:p>
    <w:p w14:paraId="2AB71831"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提案人：郭國文</w:t>
      </w:r>
    </w:p>
    <w:p w14:paraId="4D27DD80"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連署人：林楚茵　鍾佳濱</w:t>
      </w:r>
    </w:p>
    <w:p w14:paraId="0D695F34" w14:textId="57CD54CA" w:rsidR="00B05DA0" w:rsidRPr="00B05DA0" w:rsidRDefault="003E3F83"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26</w:t>
      </w:r>
      <w:r w:rsidR="00B05DA0" w:rsidRPr="00B05DA0">
        <w:rPr>
          <w:rFonts w:ascii="標楷體" w:eastAsia="標楷體" w:hAnsi="標楷體" w:hint="eastAsia"/>
        </w:rPr>
        <w:t>.為便於瞭解台灣pay電子支付之整體發展情況及店家端普及程度，以供未來政策規劃參考，請中央銀行敦促財金資訊股份有限公司定期統計並公告台灣pay特約店家數。另查金融監督管理委員會銀行局每月份皆有針對電子支付機構業務資訊，統計並公告包括電子支付帳戶使用者人數、交易款項金額、小額匯兌金額、儲值款項金額，及支付款項餘額等項目之統計結果。請中央銀行敦促財金資訊股份有限公司亦參考金融監督管理委員會之公告統計，每月至少提供包含台灣pay綁定用戶數、交易款項金額等資訊，以供檢視推廣成效。</w:t>
      </w:r>
    </w:p>
    <w:p w14:paraId="1E76105B"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提案人：鍾佳濱　林楚茵　郭國文</w:t>
      </w:r>
    </w:p>
    <w:p w14:paraId="325E2AF5" w14:textId="17AB97F7" w:rsidR="00B05DA0" w:rsidRPr="00B05DA0" w:rsidRDefault="003E3F83"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27</w:t>
      </w:r>
      <w:r w:rsidR="00B05DA0" w:rsidRPr="00B05DA0">
        <w:rPr>
          <w:rFonts w:ascii="標楷體" w:eastAsia="標楷體" w:hAnsi="標楷體" w:hint="eastAsia"/>
        </w:rPr>
        <w:t>.中央銀行於110年5月COVID-19疫情三級警戒期間，為配合行政院鼓勵民眾多運用線上金融服務，減低染疫風險，爰督促財金資訊股份有限公司減免網路銀行及實體ATM跨行轉帳手續費，包含︰(1)全國民眾透過網路銀行(含行動銀行)辦理跨行轉帳，財金資訊股份有限公司向金融機構收取之每筆手續費2.5元，即全部免收；(2)財金資訊股份有限公司向金融機構收取之實體ATM跨行轉帳手續費，每筆減收1元，即減免40%。此項政策除有配合防疫之目的外，亦有因應金融市場環境之變化與發展，顧及網路銀行(含行動銀行)日益普及，提昇普惠金融及落實公平待客原則，以回應民眾對調降跨行轉帳手續費之合理期待之成效，爰要求中央銀行持續督促財金資訊股份有限公司邀集金融機構，以共同研</w:t>
      </w:r>
      <w:r w:rsidR="00B05DA0" w:rsidRPr="00B05DA0">
        <w:rPr>
          <w:rFonts w:ascii="標楷體" w:eastAsia="標楷體" w:hAnsi="標楷體" w:hint="eastAsia"/>
        </w:rPr>
        <w:lastRenderedPageBreak/>
        <w:t>商(1)現行各銀行分級費率之實施情況及損益評估；(2)由銀行端主動調降跨行轉帳手續費計價及強化分級優惠費率之可行性，並於2個月內</w:t>
      </w:r>
      <w:r w:rsidR="00B05DA0" w:rsidRPr="00B05DA0">
        <w:rPr>
          <w:rFonts w:ascii="標楷體" w:eastAsia="標楷體" w:hAnsi="標楷體" w:cs="華康楷書體W5" w:hint="eastAsia"/>
        </w:rPr>
        <w:t>向立法院財政委員會</w:t>
      </w:r>
      <w:r w:rsidR="00B05DA0" w:rsidRPr="00B05DA0">
        <w:rPr>
          <w:rFonts w:ascii="標楷體" w:eastAsia="標楷體" w:hAnsi="標楷體" w:hint="eastAsia"/>
        </w:rPr>
        <w:t>提出書面報告。</w:t>
      </w:r>
    </w:p>
    <w:p w14:paraId="61A2BFCF"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提案人：沈發惠</w:t>
      </w:r>
    </w:p>
    <w:p w14:paraId="3BA55AFD" w14:textId="77777777" w:rsidR="00B05DA0" w:rsidRPr="00B05DA0" w:rsidRDefault="00B05DA0" w:rsidP="00B05DA0">
      <w:pPr>
        <w:adjustRightInd/>
        <w:snapToGrid/>
        <w:ind w:leftChars="300" w:left="960" w:firstLineChars="190" w:firstLine="609"/>
        <w:jc w:val="both"/>
        <w:outlineLvl w:val="0"/>
        <w:rPr>
          <w:rFonts w:ascii="標楷體" w:eastAsia="標楷體" w:hAnsi="標楷體"/>
          <w:bCs/>
        </w:rPr>
      </w:pPr>
      <w:r w:rsidRPr="00B05DA0">
        <w:rPr>
          <w:rFonts w:ascii="標楷體" w:eastAsia="標楷體" w:hAnsi="標楷體" w:hint="eastAsia"/>
          <w:b/>
        </w:rPr>
        <w:t xml:space="preserve">　　　　　　</w:t>
      </w:r>
      <w:r w:rsidRPr="00B05DA0">
        <w:rPr>
          <w:rFonts w:ascii="標楷體" w:eastAsia="標楷體" w:hAnsi="標楷體" w:hint="eastAsia"/>
          <w:bCs/>
        </w:rPr>
        <w:t>連署人</w:t>
      </w:r>
      <w:r w:rsidRPr="00B05DA0">
        <w:rPr>
          <w:rFonts w:ascii="標楷體" w:eastAsia="標楷體" w:hAnsi="標楷體" w:hint="eastAsia"/>
        </w:rPr>
        <w:t>：林楚茵　鍾佳濱</w:t>
      </w:r>
    </w:p>
    <w:p w14:paraId="51A0803D" w14:textId="3F6A6AD5" w:rsidR="00B05DA0" w:rsidRPr="00B05DA0" w:rsidRDefault="003E3F83"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28</w:t>
      </w:r>
      <w:r w:rsidR="00B05DA0" w:rsidRPr="00B05DA0">
        <w:rPr>
          <w:rFonts w:ascii="標楷體" w:eastAsia="標楷體" w:hAnsi="標楷體" w:hint="eastAsia"/>
        </w:rPr>
        <w:t>.中央銀行因應國內疫情升溫，於110年6月提高辦理銀行承作中小企業貸款融通專案之額度，依立法院預算中心111年度中央政府總預算案整體評估報告指出，金融機構運用中央銀行融通資金提供專案貸款，依貸款對象、額度及擔保(保證)類別分為A、B、C等3種方案，截至110年8月底止，核准情形分別為A方案6萬0</w:t>
      </w:r>
      <w:r w:rsidR="00B05DA0" w:rsidRPr="00B05DA0">
        <w:rPr>
          <w:rFonts w:ascii="標楷體" w:eastAsia="標楷體" w:hAnsi="標楷體"/>
        </w:rPr>
        <w:t>,</w:t>
      </w:r>
      <w:r w:rsidR="00B05DA0" w:rsidRPr="00B05DA0">
        <w:rPr>
          <w:rFonts w:ascii="標楷體" w:eastAsia="標楷體" w:hAnsi="標楷體" w:hint="eastAsia"/>
        </w:rPr>
        <w:t>959戶，金額為1,159億1,553萬元、B方案4萬4,778戶，金額為1,920億5,866萬元、C方案15萬0</w:t>
      </w:r>
      <w:r w:rsidR="00B05DA0" w:rsidRPr="00B05DA0">
        <w:rPr>
          <w:rFonts w:ascii="標楷體" w:eastAsia="標楷體" w:hAnsi="標楷體"/>
        </w:rPr>
        <w:t>,</w:t>
      </w:r>
      <w:r w:rsidR="00B05DA0" w:rsidRPr="00B05DA0">
        <w:rPr>
          <w:rFonts w:ascii="標楷體" w:eastAsia="標楷體" w:hAnsi="標楷體" w:hint="eastAsia"/>
        </w:rPr>
        <w:t>552戶，金額為735億8,965萬元，3方案共核准25萬6,289戶，金額合計3,815億6,384萬元，總融通額度僅餘184億3,616萬元，可供融通額度已將用罄，考量國內經濟動能迄未完全復原，且疫情發展瞬息萬變，爰要求中央銀行適時檢視各方案申辦情形，對於有資金周轉需求之中小企業提供必要之協助，並於3個月內向立法院財政委員會提出</w:t>
      </w:r>
      <w:r w:rsidR="00B05DA0" w:rsidRPr="003F4D66">
        <w:rPr>
          <w:rFonts w:ascii="標楷體" w:eastAsia="標楷體" w:hAnsi="標楷體" w:hint="eastAsia"/>
        </w:rPr>
        <w:t>書面</w:t>
      </w:r>
      <w:r w:rsidR="00B05DA0" w:rsidRPr="00B05DA0">
        <w:rPr>
          <w:rFonts w:ascii="標楷體" w:eastAsia="標楷體" w:hAnsi="標楷體" w:hint="eastAsia"/>
        </w:rPr>
        <w:t>報告。</w:t>
      </w:r>
    </w:p>
    <w:p w14:paraId="15648652"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提案人：賴士葆　張其祿　林德福　曾銘宗</w:t>
      </w:r>
    </w:p>
    <w:p w14:paraId="4C81A951" w14:textId="3745E567" w:rsidR="00B05DA0" w:rsidRPr="00B05DA0" w:rsidRDefault="003E3F83" w:rsidP="00E02C89">
      <w:pPr>
        <w:adjustRightInd/>
        <w:snapToGrid/>
        <w:ind w:leftChars="300" w:left="1440" w:hangingChars="150" w:hanging="480"/>
        <w:jc w:val="both"/>
        <w:outlineLvl w:val="0"/>
        <w:rPr>
          <w:rFonts w:ascii="標楷體" w:eastAsia="標楷體" w:hAnsi="標楷體" w:cs="DFKaiShu-SB-Estd-BF"/>
          <w:kern w:val="0"/>
        </w:rPr>
      </w:pPr>
      <w:r>
        <w:rPr>
          <w:rFonts w:ascii="標楷體" w:eastAsia="標楷體" w:hAnsi="標楷體"/>
        </w:rPr>
        <w:t>29</w:t>
      </w:r>
      <w:r w:rsidR="00B05DA0" w:rsidRPr="00B05DA0">
        <w:rPr>
          <w:rFonts w:ascii="標楷體" w:eastAsia="標楷體" w:hAnsi="標楷體" w:hint="eastAsia"/>
        </w:rPr>
        <w:t>.</w:t>
      </w:r>
      <w:r w:rsidR="00B05DA0" w:rsidRPr="003F4D66">
        <w:rPr>
          <w:rFonts w:ascii="標楷體" w:eastAsia="標楷體" w:hAnsi="標楷體" w:cs="DFKaiShu-SB-Estd-BF"/>
          <w:kern w:val="0"/>
        </w:rPr>
        <w:t>1</w:t>
      </w:r>
      <w:r w:rsidR="00B05DA0" w:rsidRPr="003F4D66">
        <w:rPr>
          <w:rFonts w:ascii="標楷體" w:eastAsia="標楷體" w:hAnsi="標楷體" w:cs="DFKaiShu-SB-Estd-BF" w:hint="eastAsia"/>
          <w:kern w:val="0"/>
        </w:rPr>
        <w:t>11</w:t>
      </w:r>
      <w:r w:rsidR="00B05DA0" w:rsidRPr="003F4D66">
        <w:rPr>
          <w:rFonts w:ascii="標楷體" w:eastAsia="標楷體" w:hAnsi="標楷體" w:cs="微軟正黑體" w:hint="eastAsia"/>
          <w:kern w:val="0"/>
        </w:rPr>
        <w:t>年度</w:t>
      </w:r>
      <w:r w:rsidR="00B05DA0" w:rsidRPr="003F4D66">
        <w:rPr>
          <w:rFonts w:ascii="標楷體" w:eastAsia="標楷體" w:hAnsi="標楷體" w:cs="DFKaiShu-SB-Estd-BF" w:hint="eastAsia"/>
          <w:kern w:val="0"/>
        </w:rPr>
        <w:t>中央造幣廠</w:t>
      </w:r>
      <w:r w:rsidR="00B05DA0" w:rsidRPr="003F4D66">
        <w:rPr>
          <w:rFonts w:ascii="標楷體" w:eastAsia="標楷體" w:hAnsi="標楷體" w:cs="微軟正黑體" w:hint="eastAsia"/>
          <w:kern w:val="0"/>
        </w:rPr>
        <w:t>預算案編列之</w:t>
      </w:r>
      <w:r w:rsidR="00B05DA0" w:rsidRPr="003F4D66">
        <w:rPr>
          <w:rFonts w:ascii="標楷體" w:eastAsia="標楷體" w:hAnsi="標楷體" w:cs="Microsoft YaHei" w:hint="eastAsia"/>
          <w:kern w:val="0"/>
        </w:rPr>
        <w:t>本期淨利為</w:t>
      </w:r>
      <w:r w:rsidR="00B05DA0" w:rsidRPr="003F4D66">
        <w:rPr>
          <w:rFonts w:ascii="標楷體" w:eastAsia="標楷體" w:hAnsi="標楷體" w:cs="DFKaiShu-SB-Estd-BF"/>
          <w:kern w:val="0"/>
        </w:rPr>
        <w:t>1億5,899萬5</w:t>
      </w:r>
      <w:r w:rsidR="00B05DA0" w:rsidRPr="003F4D66">
        <w:rPr>
          <w:rFonts w:ascii="標楷體" w:eastAsia="標楷體" w:hAnsi="標楷體" w:cs="DFKaiShu-SB-Estd-BF" w:hint="eastAsia"/>
          <w:kern w:val="0"/>
        </w:rPr>
        <w:t>千元，較110年度預算數</w:t>
      </w:r>
      <w:r w:rsidR="00B05DA0" w:rsidRPr="003F4D66">
        <w:rPr>
          <w:rFonts w:ascii="標楷體" w:eastAsia="標楷體" w:hAnsi="標楷體" w:cs="DFKaiShu-SB-Estd-BF"/>
          <w:kern w:val="0"/>
        </w:rPr>
        <w:t>1億6,899萬9</w:t>
      </w:r>
      <w:r w:rsidR="00B05DA0" w:rsidRPr="003F4D66">
        <w:rPr>
          <w:rFonts w:ascii="標楷體" w:eastAsia="標楷體" w:hAnsi="標楷體" w:cs="DFKaiShu-SB-Estd-BF" w:hint="eastAsia"/>
          <w:kern w:val="0"/>
        </w:rPr>
        <w:t>千元、109年度決算數</w:t>
      </w:r>
      <w:r w:rsidR="00B05DA0" w:rsidRPr="003F4D66">
        <w:rPr>
          <w:rFonts w:ascii="標楷體" w:eastAsia="標楷體" w:hAnsi="標楷體" w:cs="DFKaiShu-SB-Estd-BF"/>
          <w:kern w:val="0"/>
        </w:rPr>
        <w:t>1億7,984萬</w:t>
      </w:r>
      <w:r w:rsidR="00B05DA0" w:rsidRPr="003F4D66">
        <w:rPr>
          <w:rFonts w:ascii="標楷體" w:eastAsia="標楷體" w:hAnsi="標楷體" w:cs="DFKaiShu-SB-Estd-BF" w:hint="eastAsia"/>
          <w:kern w:val="0"/>
        </w:rPr>
        <w:t>元，分別減編1,000萬4千元(減幅5.92%)、2,084萬5千元(減幅11.59%)，依附屬單位預算共同項目編</w:t>
      </w:r>
      <w:r w:rsidR="00B05DA0" w:rsidRPr="003F4D66">
        <w:rPr>
          <w:rFonts w:ascii="標楷體" w:eastAsia="標楷體" w:hAnsi="標楷體" w:cs="微軟正黑體" w:hint="eastAsia"/>
          <w:kern w:val="0"/>
        </w:rPr>
        <w:t>列</w:t>
      </w:r>
      <w:r w:rsidR="00B05DA0" w:rsidRPr="003F4D66">
        <w:rPr>
          <w:rFonts w:ascii="標楷體" w:eastAsia="標楷體" w:hAnsi="標楷體" w:cs="Microsoft YaHei" w:hint="eastAsia"/>
          <w:kern w:val="0"/>
        </w:rPr>
        <w:t>作業規範規定，營業基</w:t>
      </w:r>
      <w:r w:rsidR="00B05DA0" w:rsidRPr="003F4D66">
        <w:rPr>
          <w:rFonts w:ascii="標楷體" w:eastAsia="標楷體" w:hAnsi="標楷體" w:cs="微軟正黑體" w:hint="eastAsia"/>
          <w:kern w:val="0"/>
        </w:rPr>
        <w:t>金</w:t>
      </w:r>
      <w:r w:rsidR="00B05DA0" w:rsidRPr="003F4D66">
        <w:rPr>
          <w:rFonts w:ascii="標楷體" w:eastAsia="標楷體" w:hAnsi="標楷體" w:cs="Microsoft YaHei" w:hint="eastAsia"/>
          <w:kern w:val="0"/>
        </w:rPr>
        <w:t>盈</w:t>
      </w:r>
      <w:r w:rsidR="00B05DA0" w:rsidRPr="003F4D66">
        <w:rPr>
          <w:rFonts w:ascii="標楷體" w:eastAsia="標楷體" w:hAnsi="標楷體" w:cs="DFKaiShu-SB-Estd-BF" w:hint="eastAsia"/>
          <w:kern w:val="0"/>
        </w:rPr>
        <w:t>餘之編</w:t>
      </w:r>
      <w:r w:rsidR="00B05DA0" w:rsidRPr="003F4D66">
        <w:rPr>
          <w:rFonts w:ascii="標楷體" w:eastAsia="標楷體" w:hAnsi="標楷體" w:cs="微軟正黑體" w:hint="eastAsia"/>
          <w:kern w:val="0"/>
        </w:rPr>
        <w:t>列</w:t>
      </w:r>
      <w:r w:rsidR="00B05DA0" w:rsidRPr="003F4D66">
        <w:rPr>
          <w:rFonts w:ascii="標楷體" w:eastAsia="標楷體" w:hAnsi="標楷體" w:cs="Microsoft YaHei" w:hint="eastAsia"/>
          <w:kern w:val="0"/>
        </w:rPr>
        <w:t>，應衡酌事業本身最近</w:t>
      </w:r>
      <w:r w:rsidR="00B05DA0" w:rsidRPr="003F4D66">
        <w:rPr>
          <w:rFonts w:ascii="標楷體" w:eastAsia="標楷體" w:hAnsi="標楷體" w:cs="微軟正黑體" w:hint="eastAsia"/>
          <w:kern w:val="0"/>
        </w:rPr>
        <w:t>年度</w:t>
      </w:r>
      <w:r w:rsidR="00B05DA0" w:rsidRPr="003F4D66">
        <w:rPr>
          <w:rFonts w:ascii="標楷體" w:eastAsia="標楷體" w:hAnsi="標楷體" w:cs="Microsoft YaHei" w:hint="eastAsia"/>
          <w:kern w:val="0"/>
        </w:rPr>
        <w:t>之投資報酬</w:t>
      </w:r>
      <w:r w:rsidR="00B05DA0" w:rsidRPr="003F4D66">
        <w:rPr>
          <w:rFonts w:ascii="標楷體" w:eastAsia="標楷體" w:hAnsi="標楷體" w:cs="微軟正黑體" w:hint="eastAsia"/>
          <w:kern w:val="0"/>
        </w:rPr>
        <w:t>率</w:t>
      </w:r>
      <w:r w:rsidR="00B05DA0" w:rsidRPr="003F4D66">
        <w:rPr>
          <w:rFonts w:ascii="標楷體" w:eastAsia="標楷體" w:hAnsi="標楷體" w:cs="Microsoft YaHei" w:hint="eastAsia"/>
          <w:kern w:val="0"/>
        </w:rPr>
        <w:t>及經營成果</w:t>
      </w:r>
      <w:r w:rsidR="00B05DA0" w:rsidRPr="003F4D66">
        <w:rPr>
          <w:rFonts w:ascii="標楷體" w:eastAsia="標楷體" w:hAnsi="標楷體" w:cs="DFKaiShu-SB-Estd-BF" w:hint="eastAsia"/>
          <w:kern w:val="0"/>
        </w:rPr>
        <w:t>比</w:t>
      </w:r>
      <w:r w:rsidR="00B05DA0" w:rsidRPr="003F4D66">
        <w:rPr>
          <w:rFonts w:ascii="標楷體" w:eastAsia="標楷體" w:hAnsi="標楷體" w:cs="微軟正黑體" w:hint="eastAsia"/>
          <w:kern w:val="0"/>
        </w:rPr>
        <w:t>率</w:t>
      </w:r>
      <w:r w:rsidR="00B05DA0" w:rsidRPr="003F4D66">
        <w:rPr>
          <w:rFonts w:ascii="標楷體" w:eastAsia="標楷體" w:hAnsi="標楷體" w:cs="Microsoft YaHei" w:hint="eastAsia"/>
          <w:kern w:val="0"/>
        </w:rPr>
        <w:t>，妥訂適當盈餘目標，並以盈餘逐</w:t>
      </w:r>
      <w:r w:rsidR="00B05DA0" w:rsidRPr="003F4D66">
        <w:rPr>
          <w:rFonts w:ascii="標楷體" w:eastAsia="標楷體" w:hAnsi="標楷體" w:cs="微軟正黑體" w:hint="eastAsia"/>
          <w:kern w:val="0"/>
        </w:rPr>
        <w:t>年</w:t>
      </w:r>
      <w:r w:rsidR="00B05DA0" w:rsidRPr="003F4D66">
        <w:rPr>
          <w:rFonts w:ascii="標楷體" w:eastAsia="標楷體" w:hAnsi="標楷體" w:cs="Microsoft YaHei" w:hint="eastAsia"/>
          <w:kern w:val="0"/>
        </w:rPr>
        <w:t>成長為目標。是以，事</w:t>
      </w:r>
      <w:r w:rsidR="00B05DA0" w:rsidRPr="003F4D66">
        <w:rPr>
          <w:rFonts w:ascii="標楷體" w:eastAsia="標楷體" w:hAnsi="標楷體" w:cs="DFKaiShu-SB-Estd-BF" w:hint="eastAsia"/>
          <w:kern w:val="0"/>
        </w:rPr>
        <w:t>業過去之經營實績乃訂定盈餘目標之重要</w:t>
      </w:r>
      <w:r w:rsidR="00B05DA0" w:rsidRPr="003F4D66">
        <w:rPr>
          <w:rFonts w:ascii="標楷體" w:eastAsia="標楷體" w:hAnsi="標楷體" w:cs="微軟正黑體" w:hint="eastAsia"/>
          <w:kern w:val="0"/>
        </w:rPr>
        <w:t>參</w:t>
      </w:r>
      <w:r w:rsidR="00B05DA0" w:rsidRPr="003F4D66">
        <w:rPr>
          <w:rFonts w:ascii="標楷體" w:eastAsia="標楷體" w:hAnsi="標楷體" w:cs="Microsoft YaHei" w:hint="eastAsia"/>
          <w:kern w:val="0"/>
        </w:rPr>
        <w:t>據，以偏低之預算盈餘作為年</w:t>
      </w:r>
      <w:r w:rsidR="00B05DA0" w:rsidRPr="003F4D66">
        <w:rPr>
          <w:rFonts w:ascii="標楷體" w:eastAsia="標楷體" w:hAnsi="標楷體" w:cs="Microsoft YaHei" w:hint="eastAsia"/>
          <w:kern w:val="0"/>
        </w:rPr>
        <w:lastRenderedPageBreak/>
        <w:t>度達成目標，不利提升營運績效。</w:t>
      </w:r>
      <w:r w:rsidR="00B05DA0" w:rsidRPr="003F4D66">
        <w:rPr>
          <w:rFonts w:ascii="標楷體" w:eastAsia="標楷體" w:hAnsi="標楷體" w:hint="eastAsia"/>
        </w:rPr>
        <w:t>爰要求中央造幣廠就本期淨利及銷貨收入於3個月內向立法院財政委員會提出書面報告。</w:t>
      </w:r>
    </w:p>
    <w:p w14:paraId="254964BD" w14:textId="03EE7A57" w:rsidR="00B05DA0" w:rsidRPr="00B05DA0" w:rsidRDefault="00B05DA0" w:rsidP="00BC5A94">
      <w:pPr>
        <w:widowControl/>
        <w:kinsoku/>
        <w:overflowPunct/>
        <w:autoSpaceDE w:val="0"/>
        <w:autoSpaceDN w:val="0"/>
        <w:snapToGrid/>
        <w:spacing w:line="440" w:lineRule="exact"/>
        <w:ind w:leftChars="70" w:left="224" w:firstLineChars="665" w:firstLine="1596"/>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1</w:t>
      </w:r>
      <w:r w:rsidRPr="00B05DA0">
        <w:rPr>
          <w:rFonts w:ascii="標楷體" w:eastAsia="標楷體" w:hAnsi="標楷體" w:cs="DFKaiShu-SB-Estd-BF"/>
          <w:kern w:val="0"/>
          <w:sz w:val="24"/>
          <w:szCs w:val="24"/>
        </w:rPr>
        <w:t>0</w:t>
      </w:r>
      <w:r w:rsidRPr="00B05DA0">
        <w:rPr>
          <w:rFonts w:ascii="標楷體" w:eastAsia="標楷體" w:hAnsi="標楷體" w:cs="DFKaiShu-SB-Estd-BF" w:hint="eastAsia"/>
          <w:kern w:val="0"/>
          <w:sz w:val="24"/>
          <w:szCs w:val="24"/>
        </w:rPr>
        <w:t>7</w:t>
      </w:r>
      <w:r w:rsidR="003F4D66" w:rsidRPr="00475C5C">
        <w:rPr>
          <w:rFonts w:ascii="標楷體" w:eastAsia="標楷體" w:hAnsi="標楷體" w:cs="DFKaiShu-SB-Estd-BF" w:hint="eastAsia"/>
          <w:kern w:val="0"/>
          <w:sz w:val="24"/>
          <w:szCs w:val="24"/>
        </w:rPr>
        <w:t>至</w:t>
      </w:r>
      <w:r w:rsidRPr="00B05DA0">
        <w:rPr>
          <w:rFonts w:ascii="標楷體" w:eastAsia="標楷體" w:hAnsi="標楷體" w:cs="DFKaiShu-SB-Estd-BF" w:hint="eastAsia"/>
          <w:kern w:val="0"/>
          <w:sz w:val="24"/>
          <w:szCs w:val="24"/>
        </w:rPr>
        <w:t>111年度中央造幣廠本期淨利預決算情形表</w:t>
      </w:r>
    </w:p>
    <w:p w14:paraId="0BAA781C" w14:textId="77777777" w:rsidR="00B05DA0" w:rsidRPr="00B05DA0" w:rsidRDefault="00B05DA0" w:rsidP="00B05DA0">
      <w:pPr>
        <w:widowControl/>
        <w:kinsoku/>
        <w:overflowPunct/>
        <w:autoSpaceDE w:val="0"/>
        <w:autoSpaceDN w:val="0"/>
        <w:snapToGrid/>
        <w:spacing w:line="520" w:lineRule="exact"/>
        <w:jc w:val="right"/>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單位:新台幣千元</w:t>
      </w:r>
    </w:p>
    <w:tbl>
      <w:tblPr>
        <w:tblStyle w:val="11"/>
        <w:tblW w:w="8041" w:type="dxa"/>
        <w:tblInd w:w="1801" w:type="dxa"/>
        <w:tblLayout w:type="fixed"/>
        <w:tblLook w:val="04A0" w:firstRow="1" w:lastRow="0" w:firstColumn="1" w:lastColumn="0" w:noHBand="0" w:noVBand="1"/>
      </w:tblPr>
      <w:tblGrid>
        <w:gridCol w:w="1417"/>
        <w:gridCol w:w="1276"/>
        <w:gridCol w:w="1276"/>
        <w:gridCol w:w="1417"/>
        <w:gridCol w:w="1380"/>
        <w:gridCol w:w="1275"/>
      </w:tblGrid>
      <w:tr w:rsidR="00B05DA0" w:rsidRPr="00B05DA0" w14:paraId="07717A9A" w14:textId="77777777" w:rsidTr="00496B91">
        <w:tc>
          <w:tcPr>
            <w:tcW w:w="1417" w:type="dxa"/>
          </w:tcPr>
          <w:p w14:paraId="25CE8EA9" w14:textId="77777777" w:rsidR="00B05DA0" w:rsidRPr="00B05DA0" w:rsidRDefault="00B05DA0" w:rsidP="00B05DA0">
            <w:pPr>
              <w:widowControl/>
              <w:kinsoku/>
              <w:overflowPunct/>
              <w:autoSpaceDE w:val="0"/>
              <w:autoSpaceDN w:val="0"/>
              <w:snapToGrid/>
              <w:spacing w:line="52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項  目</w:t>
            </w:r>
          </w:p>
        </w:tc>
        <w:tc>
          <w:tcPr>
            <w:tcW w:w="1276" w:type="dxa"/>
          </w:tcPr>
          <w:p w14:paraId="00439DA0"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107年度</w:t>
            </w:r>
          </w:p>
          <w:p w14:paraId="3D02A764"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決算數</w:t>
            </w:r>
          </w:p>
        </w:tc>
        <w:tc>
          <w:tcPr>
            <w:tcW w:w="1276" w:type="dxa"/>
          </w:tcPr>
          <w:p w14:paraId="29DC7DE0"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108年度</w:t>
            </w:r>
          </w:p>
          <w:p w14:paraId="0AD5B460"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決算數</w:t>
            </w:r>
          </w:p>
        </w:tc>
        <w:tc>
          <w:tcPr>
            <w:tcW w:w="1417" w:type="dxa"/>
          </w:tcPr>
          <w:p w14:paraId="43756A9E"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109年度</w:t>
            </w:r>
          </w:p>
          <w:p w14:paraId="0A87FB87"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決算數</w:t>
            </w:r>
          </w:p>
        </w:tc>
        <w:tc>
          <w:tcPr>
            <w:tcW w:w="1380" w:type="dxa"/>
          </w:tcPr>
          <w:p w14:paraId="1DC93280"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110年度</w:t>
            </w:r>
          </w:p>
          <w:p w14:paraId="4AA324C7"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預算數</w:t>
            </w:r>
          </w:p>
        </w:tc>
        <w:tc>
          <w:tcPr>
            <w:tcW w:w="1275" w:type="dxa"/>
          </w:tcPr>
          <w:p w14:paraId="6FC6BCAF"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111年度</w:t>
            </w:r>
          </w:p>
          <w:p w14:paraId="36416FF9"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預算數</w:t>
            </w:r>
          </w:p>
        </w:tc>
      </w:tr>
      <w:tr w:rsidR="00B05DA0" w:rsidRPr="00B05DA0" w14:paraId="3FB59769" w14:textId="77777777" w:rsidTr="00496B91">
        <w:tc>
          <w:tcPr>
            <w:tcW w:w="1417" w:type="dxa"/>
          </w:tcPr>
          <w:p w14:paraId="277922F0" w14:textId="77777777" w:rsidR="00B05DA0" w:rsidRPr="00B05DA0" w:rsidRDefault="00B05DA0" w:rsidP="00B05DA0">
            <w:pPr>
              <w:widowControl/>
              <w:kinsoku/>
              <w:overflowPunct/>
              <w:autoSpaceDE w:val="0"/>
              <w:autoSpaceDN w:val="0"/>
              <w:snapToGrid/>
              <w:spacing w:line="520" w:lineRule="exact"/>
              <w:jc w:val="both"/>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本期淨利</w:t>
            </w:r>
          </w:p>
        </w:tc>
        <w:tc>
          <w:tcPr>
            <w:tcW w:w="1276" w:type="dxa"/>
          </w:tcPr>
          <w:p w14:paraId="6D3E257B" w14:textId="77777777" w:rsidR="00B05DA0" w:rsidRPr="00B05DA0" w:rsidRDefault="00B05DA0" w:rsidP="00496B91">
            <w:pPr>
              <w:widowControl/>
              <w:kinsoku/>
              <w:overflowPunct/>
              <w:autoSpaceDE w:val="0"/>
              <w:autoSpaceDN w:val="0"/>
              <w:snapToGrid/>
              <w:spacing w:line="520" w:lineRule="exact"/>
              <w:jc w:val="right"/>
              <w:rPr>
                <w:rFonts w:ascii="標楷體" w:eastAsia="標楷體" w:hAnsi="標楷體" w:cs="DFKaiShu-SB-Estd-BF"/>
                <w:kern w:val="0"/>
                <w:sz w:val="24"/>
                <w:szCs w:val="24"/>
              </w:rPr>
            </w:pPr>
            <w:r w:rsidRPr="00B05DA0">
              <w:rPr>
                <w:rFonts w:ascii="標楷體" w:eastAsia="標楷體" w:hAnsi="標楷體" w:cs="DFKaiShu-SB-Estd-BF"/>
                <w:kern w:val="0"/>
                <w:sz w:val="24"/>
                <w:szCs w:val="24"/>
              </w:rPr>
              <w:t>194,479</w:t>
            </w:r>
          </w:p>
        </w:tc>
        <w:tc>
          <w:tcPr>
            <w:tcW w:w="1276" w:type="dxa"/>
          </w:tcPr>
          <w:p w14:paraId="0430C6CA" w14:textId="77777777" w:rsidR="00B05DA0" w:rsidRPr="00B05DA0" w:rsidRDefault="00B05DA0" w:rsidP="00496B91">
            <w:pPr>
              <w:widowControl/>
              <w:kinsoku/>
              <w:overflowPunct/>
              <w:autoSpaceDE w:val="0"/>
              <w:autoSpaceDN w:val="0"/>
              <w:snapToGrid/>
              <w:spacing w:line="520" w:lineRule="exact"/>
              <w:jc w:val="right"/>
              <w:rPr>
                <w:rFonts w:ascii="標楷體" w:eastAsia="標楷體" w:hAnsi="標楷體" w:cs="DFKaiShu-SB-Estd-BF"/>
                <w:kern w:val="0"/>
                <w:sz w:val="24"/>
                <w:szCs w:val="24"/>
              </w:rPr>
            </w:pPr>
            <w:r w:rsidRPr="00B05DA0">
              <w:rPr>
                <w:rFonts w:ascii="標楷體" w:eastAsia="標楷體" w:hAnsi="標楷體" w:cs="DFKaiShu-SB-Estd-BF"/>
                <w:kern w:val="0"/>
                <w:sz w:val="24"/>
                <w:szCs w:val="24"/>
              </w:rPr>
              <w:t>184,033</w:t>
            </w:r>
          </w:p>
        </w:tc>
        <w:tc>
          <w:tcPr>
            <w:tcW w:w="1417" w:type="dxa"/>
          </w:tcPr>
          <w:p w14:paraId="5E46E476" w14:textId="77777777" w:rsidR="00B05DA0" w:rsidRPr="00B05DA0" w:rsidRDefault="00B05DA0" w:rsidP="00496B91">
            <w:pPr>
              <w:widowControl/>
              <w:kinsoku/>
              <w:overflowPunct/>
              <w:autoSpaceDE w:val="0"/>
              <w:autoSpaceDN w:val="0"/>
              <w:snapToGrid/>
              <w:spacing w:line="520" w:lineRule="exact"/>
              <w:jc w:val="right"/>
              <w:rPr>
                <w:rFonts w:ascii="標楷體" w:eastAsia="標楷體" w:hAnsi="標楷體" w:cs="DFKaiShu-SB-Estd-BF"/>
                <w:kern w:val="0"/>
                <w:sz w:val="24"/>
                <w:szCs w:val="24"/>
              </w:rPr>
            </w:pPr>
            <w:r w:rsidRPr="00B05DA0">
              <w:rPr>
                <w:rFonts w:ascii="標楷體" w:eastAsia="標楷體" w:hAnsi="標楷體" w:cs="DFKaiShu-SB-Estd-BF"/>
                <w:kern w:val="0"/>
                <w:sz w:val="24"/>
                <w:szCs w:val="24"/>
              </w:rPr>
              <w:t>179,840</w:t>
            </w:r>
          </w:p>
        </w:tc>
        <w:tc>
          <w:tcPr>
            <w:tcW w:w="1380" w:type="dxa"/>
          </w:tcPr>
          <w:p w14:paraId="60B75BBB" w14:textId="77777777" w:rsidR="00B05DA0" w:rsidRPr="00B05DA0" w:rsidRDefault="00B05DA0" w:rsidP="00496B91">
            <w:pPr>
              <w:widowControl/>
              <w:kinsoku/>
              <w:overflowPunct/>
              <w:autoSpaceDE w:val="0"/>
              <w:autoSpaceDN w:val="0"/>
              <w:snapToGrid/>
              <w:spacing w:line="520" w:lineRule="exact"/>
              <w:jc w:val="right"/>
              <w:rPr>
                <w:rFonts w:ascii="標楷體" w:eastAsia="標楷體" w:hAnsi="標楷體" w:cs="DFKaiShu-SB-Estd-BF"/>
                <w:kern w:val="0"/>
                <w:sz w:val="24"/>
                <w:szCs w:val="24"/>
              </w:rPr>
            </w:pPr>
            <w:r w:rsidRPr="00B05DA0">
              <w:rPr>
                <w:rFonts w:ascii="標楷體" w:eastAsia="標楷體" w:hAnsi="標楷體" w:cs="DFKaiShu-SB-Estd-BF"/>
                <w:kern w:val="0"/>
                <w:sz w:val="24"/>
                <w:szCs w:val="24"/>
              </w:rPr>
              <w:t>168,999</w:t>
            </w:r>
          </w:p>
        </w:tc>
        <w:tc>
          <w:tcPr>
            <w:tcW w:w="1275" w:type="dxa"/>
          </w:tcPr>
          <w:p w14:paraId="7546FF1B" w14:textId="77777777" w:rsidR="00B05DA0" w:rsidRPr="00B05DA0" w:rsidRDefault="00B05DA0" w:rsidP="00496B91">
            <w:pPr>
              <w:widowControl/>
              <w:kinsoku/>
              <w:overflowPunct/>
              <w:autoSpaceDE w:val="0"/>
              <w:autoSpaceDN w:val="0"/>
              <w:snapToGrid/>
              <w:spacing w:line="520" w:lineRule="exact"/>
              <w:jc w:val="right"/>
              <w:rPr>
                <w:rFonts w:ascii="標楷體" w:eastAsia="標楷體" w:hAnsi="標楷體" w:cs="DFKaiShu-SB-Estd-BF"/>
                <w:kern w:val="0"/>
                <w:sz w:val="24"/>
                <w:szCs w:val="24"/>
              </w:rPr>
            </w:pPr>
            <w:r w:rsidRPr="00B05DA0">
              <w:rPr>
                <w:rFonts w:ascii="標楷體" w:eastAsia="標楷體" w:hAnsi="標楷體" w:cs="DFKaiShu-SB-Estd-BF"/>
                <w:kern w:val="0"/>
                <w:sz w:val="24"/>
                <w:szCs w:val="24"/>
              </w:rPr>
              <w:t>158,995</w:t>
            </w:r>
          </w:p>
        </w:tc>
      </w:tr>
    </w:tbl>
    <w:p w14:paraId="347E6080" w14:textId="33595C8A" w:rsidR="00B05DA0" w:rsidRDefault="00B05DA0" w:rsidP="00496B91">
      <w:pPr>
        <w:kinsoku/>
        <w:overflowPunct/>
        <w:autoSpaceDE w:val="0"/>
        <w:autoSpaceDN w:val="0"/>
        <w:snapToGrid/>
        <w:spacing w:line="520" w:lineRule="exact"/>
        <w:ind w:firstLineChars="752" w:firstLine="1805"/>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註:110年度截至11月底止本期淨利為222</w:t>
      </w:r>
      <w:r w:rsidRPr="00B05DA0">
        <w:rPr>
          <w:rFonts w:ascii="標楷體" w:eastAsia="標楷體" w:hAnsi="標楷體" w:cs="DFKaiShu-SB-Estd-BF"/>
          <w:kern w:val="0"/>
          <w:sz w:val="24"/>
          <w:szCs w:val="24"/>
        </w:rPr>
        <w:t>,0</w:t>
      </w:r>
      <w:r w:rsidRPr="00B05DA0">
        <w:rPr>
          <w:rFonts w:ascii="標楷體" w:eastAsia="標楷體" w:hAnsi="標楷體" w:cs="DFKaiShu-SB-Estd-BF" w:hint="eastAsia"/>
          <w:kern w:val="0"/>
          <w:sz w:val="24"/>
          <w:szCs w:val="24"/>
        </w:rPr>
        <w:t>45千元</w:t>
      </w:r>
    </w:p>
    <w:p w14:paraId="16687CE1" w14:textId="2D0372E1" w:rsidR="003F4D66" w:rsidRPr="007A0371" w:rsidRDefault="003F4D66" w:rsidP="003F4D66">
      <w:pPr>
        <w:adjustRightInd/>
        <w:snapToGrid/>
        <w:ind w:leftChars="300" w:left="960" w:firstLineChars="190" w:firstLine="609"/>
        <w:jc w:val="both"/>
        <w:outlineLvl w:val="0"/>
        <w:rPr>
          <w:rFonts w:ascii="標楷體" w:eastAsia="標楷體" w:hAnsi="標楷體"/>
        </w:rPr>
      </w:pPr>
      <w:r w:rsidRPr="007A0371">
        <w:rPr>
          <w:rFonts w:ascii="標楷體" w:eastAsia="標楷體" w:hAnsi="標楷體" w:hint="eastAsia"/>
          <w:b/>
        </w:rPr>
        <w:t xml:space="preserve">　　　　　　</w:t>
      </w:r>
      <w:r w:rsidRPr="007A0371">
        <w:rPr>
          <w:rFonts w:ascii="標楷體" w:eastAsia="標楷體" w:hAnsi="標楷體" w:hint="eastAsia"/>
        </w:rPr>
        <w:t>提案人：李貴敏　張其祿　林德福　賴士葆</w:t>
      </w:r>
    </w:p>
    <w:p w14:paraId="063FDCD3" w14:textId="24C4A659" w:rsidR="003F4D66" w:rsidRPr="007A0371" w:rsidRDefault="003F4D66" w:rsidP="003F4D66">
      <w:pPr>
        <w:adjustRightInd/>
        <w:snapToGrid/>
        <w:ind w:leftChars="300" w:left="960" w:firstLineChars="190" w:firstLine="609"/>
        <w:jc w:val="both"/>
        <w:outlineLvl w:val="0"/>
        <w:rPr>
          <w:rFonts w:ascii="標楷體" w:eastAsia="標楷體" w:hAnsi="標楷體" w:cs="DFKaiShu-SB-Estd-BF"/>
          <w:sz w:val="24"/>
          <w:szCs w:val="24"/>
        </w:rPr>
      </w:pPr>
      <w:r w:rsidRPr="007A0371">
        <w:rPr>
          <w:rFonts w:ascii="標楷體" w:eastAsia="標楷體" w:hAnsi="標楷體" w:hint="eastAsia"/>
          <w:b/>
        </w:rPr>
        <w:t xml:space="preserve">　　　　　　　　　　</w:t>
      </w:r>
      <w:r w:rsidRPr="007A0371">
        <w:rPr>
          <w:rFonts w:ascii="標楷體" w:eastAsia="標楷體" w:hAnsi="標楷體" w:hint="eastAsia"/>
        </w:rPr>
        <w:t>羅明才</w:t>
      </w:r>
      <w:r w:rsidRPr="007A0371">
        <w:rPr>
          <w:rFonts w:ascii="標楷體" w:eastAsia="標楷體" w:hAnsi="標楷體" w:hint="eastAsia"/>
          <w:b/>
        </w:rPr>
        <w:t xml:space="preserve">　</w:t>
      </w:r>
      <w:r w:rsidRPr="007A0371">
        <w:rPr>
          <w:rFonts w:ascii="標楷體" w:eastAsia="標楷體" w:hAnsi="標楷體" w:hint="eastAsia"/>
        </w:rPr>
        <w:t>曾銘宗</w:t>
      </w:r>
      <w:r w:rsidRPr="007A0371">
        <w:rPr>
          <w:rFonts w:ascii="標楷體" w:eastAsia="標楷體" w:hAnsi="標楷體" w:hint="eastAsia"/>
          <w:b/>
        </w:rPr>
        <w:t xml:space="preserve">　</w:t>
      </w:r>
    </w:p>
    <w:p w14:paraId="6F48E1AB" w14:textId="646C0E87" w:rsidR="00B05DA0" w:rsidRPr="003F4D66" w:rsidRDefault="003E3F83"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30</w:t>
      </w:r>
      <w:r w:rsidR="00B05DA0" w:rsidRPr="00B05DA0">
        <w:rPr>
          <w:rFonts w:ascii="標楷體" w:eastAsia="標楷體" w:hAnsi="標楷體" w:hint="eastAsia"/>
        </w:rPr>
        <w:t>.</w:t>
      </w:r>
      <w:r w:rsidR="00B05DA0" w:rsidRPr="003F4D66">
        <w:rPr>
          <w:rFonts w:ascii="標楷體" w:eastAsia="標楷體" w:hAnsi="標楷體" w:hint="eastAsia"/>
        </w:rPr>
        <w:t>111年度生肖紀念套幣預計銷售11</w:t>
      </w:r>
      <w:r w:rsidR="003F4D66" w:rsidRPr="007A0371">
        <w:rPr>
          <w:rFonts w:ascii="標楷體" w:eastAsia="標楷體" w:hAnsi="標楷體" w:hint="eastAsia"/>
        </w:rPr>
        <w:t>萬</w:t>
      </w:r>
      <w:r w:rsidR="00B05DA0" w:rsidRPr="007A0371">
        <w:rPr>
          <w:rFonts w:ascii="標楷體" w:eastAsia="標楷體" w:hAnsi="標楷體" w:hint="eastAsia"/>
        </w:rPr>
        <w:t>6,000套，共編列1億4,195萬2千元，然查108至110年預計銷售套數及決算銷售套數相差數從</w:t>
      </w:r>
      <w:r w:rsidR="00BC5A94">
        <w:rPr>
          <w:rFonts w:ascii="標楷體" w:eastAsia="標楷體" w:hAnsi="標楷體" w:hint="eastAsia"/>
        </w:rPr>
        <w:t>4</w:t>
      </w:r>
      <w:r w:rsidR="00BC5A94">
        <w:rPr>
          <w:rFonts w:ascii="標楷體" w:eastAsia="標楷體" w:hAnsi="標楷體"/>
        </w:rPr>
        <w:t>,</w:t>
      </w:r>
      <w:r w:rsidR="00BC5A94">
        <w:rPr>
          <w:rFonts w:ascii="標楷體" w:eastAsia="標楷體" w:hAnsi="標楷體" w:hint="eastAsia"/>
        </w:rPr>
        <w:t>000</w:t>
      </w:r>
      <w:r w:rsidR="00B05DA0" w:rsidRPr="007A0371">
        <w:rPr>
          <w:rFonts w:ascii="標楷體" w:eastAsia="標楷體" w:hAnsi="標楷體" w:hint="eastAsia"/>
        </w:rPr>
        <w:t>套擴大至1萬3</w:t>
      </w:r>
      <w:r w:rsidR="003F4D66" w:rsidRPr="007A0371">
        <w:rPr>
          <w:rFonts w:ascii="標楷體" w:eastAsia="標楷體" w:hAnsi="標楷體"/>
        </w:rPr>
        <w:t>,</w:t>
      </w:r>
      <w:r w:rsidR="003F4D66" w:rsidRPr="007A0371">
        <w:rPr>
          <w:rFonts w:ascii="標楷體" w:eastAsia="標楷體" w:hAnsi="標楷體" w:hint="eastAsia"/>
        </w:rPr>
        <w:t>000</w:t>
      </w:r>
      <w:r w:rsidR="00B05DA0" w:rsidRPr="007A0371">
        <w:rPr>
          <w:rFonts w:ascii="標楷體" w:eastAsia="標楷體" w:hAnsi="標楷體" w:hint="eastAsia"/>
        </w:rPr>
        <w:t>套，顯見相關銷售及收入有逐年減少的情形發生，且逐漸嚴重，但僅見中央造幣廠在</w:t>
      </w:r>
      <w:r w:rsidR="003F4D66" w:rsidRPr="007A0371">
        <w:rPr>
          <w:rFonts w:ascii="標楷體" w:eastAsia="標楷體" w:hAnsi="標楷體" w:hint="eastAsia"/>
        </w:rPr>
        <w:t>次年</w:t>
      </w:r>
      <w:r w:rsidR="00B05DA0" w:rsidRPr="007A0371">
        <w:rPr>
          <w:rFonts w:ascii="標楷體" w:eastAsia="標楷體" w:hAnsi="標楷體" w:hint="eastAsia"/>
        </w:rPr>
        <w:t>度預算套數上減少銷</w:t>
      </w:r>
      <w:r w:rsidR="00B05DA0" w:rsidRPr="003F4D66">
        <w:rPr>
          <w:rFonts w:ascii="標楷體" w:eastAsia="標楷體" w:hAnsi="標楷體" w:hint="eastAsia"/>
        </w:rPr>
        <w:t>售數，未見中央造幣廠有提出具體作為來改善銷售情形。另，隨著無紙化及數位化成為主流，在未來主要產品減少生產，又因相關紀念幣銷售減少，恐造成中央造幣廠財務上的缺口。爰要求中央造幣廠</w:t>
      </w:r>
      <w:r w:rsidRPr="00475C5C">
        <w:rPr>
          <w:rFonts w:ascii="標楷體" w:eastAsia="標楷體" w:hAnsi="標楷體" w:hint="eastAsia"/>
        </w:rPr>
        <w:t>於</w:t>
      </w:r>
      <w:r w:rsidR="00B05DA0" w:rsidRPr="00475C5C">
        <w:rPr>
          <w:rFonts w:ascii="標楷體" w:eastAsia="標楷體" w:hAnsi="標楷體" w:hint="eastAsia"/>
        </w:rPr>
        <w:t>1</w:t>
      </w:r>
      <w:r w:rsidR="00B05DA0" w:rsidRPr="003F4D66">
        <w:rPr>
          <w:rFonts w:ascii="標楷體" w:eastAsia="標楷體" w:hAnsi="標楷體" w:hint="eastAsia"/>
        </w:rPr>
        <w:t>個月內向立法院財政委員會提出書面報告。</w:t>
      </w:r>
    </w:p>
    <w:tbl>
      <w:tblPr>
        <w:tblW w:w="0" w:type="auto"/>
        <w:tblInd w:w="17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7"/>
        <w:gridCol w:w="1843"/>
        <w:gridCol w:w="1984"/>
        <w:gridCol w:w="2126"/>
      </w:tblGrid>
      <w:tr w:rsidR="00B05DA0" w:rsidRPr="00B05DA0" w14:paraId="485BFF14" w14:textId="77777777" w:rsidTr="00F66F0E">
        <w:tc>
          <w:tcPr>
            <w:tcW w:w="1327" w:type="dxa"/>
            <w:shd w:val="clear" w:color="auto" w:fill="auto"/>
          </w:tcPr>
          <w:p w14:paraId="5A064EC9" w14:textId="6B38733D" w:rsidR="00B05DA0" w:rsidRPr="00B05DA0" w:rsidRDefault="003F4D66" w:rsidP="003E3F83">
            <w:pPr>
              <w:adjustRightInd/>
              <w:snapToGrid/>
              <w:ind w:leftChars="-4" w:left="227" w:hangingChars="100" w:hanging="240"/>
              <w:jc w:val="center"/>
              <w:outlineLvl w:val="0"/>
              <w:rPr>
                <w:rFonts w:ascii="標楷體" w:eastAsia="標楷體" w:hAnsi="標楷體"/>
                <w:sz w:val="24"/>
                <w:szCs w:val="24"/>
              </w:rPr>
            </w:pPr>
            <w:r w:rsidRPr="00475C5C">
              <w:rPr>
                <w:rFonts w:ascii="標楷體" w:eastAsia="標楷體" w:hAnsi="標楷體" w:hint="eastAsia"/>
                <w:sz w:val="24"/>
                <w:szCs w:val="24"/>
              </w:rPr>
              <w:t>項</w:t>
            </w:r>
            <w:r w:rsidR="003E3F83" w:rsidRPr="00475C5C">
              <w:rPr>
                <w:rFonts w:ascii="標楷體" w:eastAsia="標楷體" w:hAnsi="標楷體" w:hint="eastAsia"/>
                <w:sz w:val="24"/>
                <w:szCs w:val="24"/>
              </w:rPr>
              <w:t xml:space="preserve">  </w:t>
            </w:r>
            <w:r w:rsidRPr="00475C5C">
              <w:rPr>
                <w:rFonts w:ascii="標楷體" w:eastAsia="標楷體" w:hAnsi="標楷體" w:hint="eastAsia"/>
                <w:sz w:val="24"/>
                <w:szCs w:val="24"/>
              </w:rPr>
              <w:t>目</w:t>
            </w:r>
          </w:p>
        </w:tc>
        <w:tc>
          <w:tcPr>
            <w:tcW w:w="1843" w:type="dxa"/>
            <w:shd w:val="clear" w:color="auto" w:fill="auto"/>
          </w:tcPr>
          <w:p w14:paraId="3F0963FD" w14:textId="77777777" w:rsidR="00B05DA0" w:rsidRPr="00B05DA0" w:rsidRDefault="00B05DA0" w:rsidP="00B05DA0">
            <w:pPr>
              <w:adjustRightInd/>
              <w:snapToGrid/>
              <w:ind w:leftChars="200" w:left="880" w:hangingChars="100" w:hanging="240"/>
              <w:jc w:val="both"/>
              <w:outlineLvl w:val="0"/>
              <w:rPr>
                <w:rFonts w:ascii="標楷體" w:eastAsia="標楷體" w:hAnsi="標楷體"/>
                <w:sz w:val="24"/>
                <w:szCs w:val="24"/>
              </w:rPr>
            </w:pPr>
            <w:r w:rsidRPr="00B05DA0">
              <w:rPr>
                <w:rFonts w:ascii="標楷體" w:eastAsia="標楷體" w:hAnsi="標楷體" w:hint="eastAsia"/>
                <w:sz w:val="24"/>
                <w:szCs w:val="24"/>
              </w:rPr>
              <w:t>110年度</w:t>
            </w:r>
          </w:p>
        </w:tc>
        <w:tc>
          <w:tcPr>
            <w:tcW w:w="1984" w:type="dxa"/>
            <w:shd w:val="clear" w:color="auto" w:fill="auto"/>
          </w:tcPr>
          <w:p w14:paraId="664DBB1F" w14:textId="769AC006" w:rsidR="00B05DA0" w:rsidRPr="00B05DA0" w:rsidRDefault="00B05DA0" w:rsidP="00B05DA0">
            <w:pPr>
              <w:adjustRightInd/>
              <w:snapToGrid/>
              <w:ind w:leftChars="200" w:left="880" w:hangingChars="100" w:hanging="240"/>
              <w:jc w:val="both"/>
              <w:outlineLvl w:val="0"/>
              <w:rPr>
                <w:rFonts w:ascii="標楷體" w:eastAsia="標楷體" w:hAnsi="標楷體"/>
                <w:sz w:val="24"/>
                <w:szCs w:val="24"/>
              </w:rPr>
            </w:pPr>
            <w:r w:rsidRPr="00BC5A94">
              <w:rPr>
                <w:rFonts w:ascii="標楷體" w:eastAsia="標楷體" w:hAnsi="標楷體" w:hint="eastAsia"/>
                <w:sz w:val="24"/>
                <w:szCs w:val="24"/>
              </w:rPr>
              <w:t>109年</w:t>
            </w:r>
            <w:r w:rsidR="00475C5C" w:rsidRPr="00BC5A94">
              <w:rPr>
                <w:rFonts w:ascii="標楷體" w:eastAsia="標楷體" w:hAnsi="標楷體" w:hint="eastAsia"/>
                <w:sz w:val="24"/>
                <w:szCs w:val="24"/>
              </w:rPr>
              <w:t>度</w:t>
            </w:r>
          </w:p>
        </w:tc>
        <w:tc>
          <w:tcPr>
            <w:tcW w:w="2126" w:type="dxa"/>
            <w:shd w:val="clear" w:color="auto" w:fill="auto"/>
          </w:tcPr>
          <w:p w14:paraId="4F1088C6" w14:textId="77777777" w:rsidR="00B05DA0" w:rsidRPr="00B05DA0" w:rsidRDefault="00B05DA0" w:rsidP="00B05DA0">
            <w:pPr>
              <w:adjustRightInd/>
              <w:snapToGrid/>
              <w:ind w:leftChars="200" w:left="880" w:hangingChars="100" w:hanging="240"/>
              <w:jc w:val="both"/>
              <w:outlineLvl w:val="0"/>
              <w:rPr>
                <w:rFonts w:ascii="標楷體" w:eastAsia="標楷體" w:hAnsi="標楷體"/>
                <w:sz w:val="24"/>
                <w:szCs w:val="24"/>
              </w:rPr>
            </w:pPr>
            <w:r w:rsidRPr="00B05DA0">
              <w:rPr>
                <w:rFonts w:ascii="標楷體" w:eastAsia="標楷體" w:hAnsi="標楷體" w:hint="eastAsia"/>
                <w:sz w:val="24"/>
                <w:szCs w:val="24"/>
              </w:rPr>
              <w:t>108年度</w:t>
            </w:r>
          </w:p>
        </w:tc>
      </w:tr>
      <w:tr w:rsidR="00B05DA0" w:rsidRPr="00B05DA0" w14:paraId="52401FC5" w14:textId="77777777" w:rsidTr="00F66F0E">
        <w:tc>
          <w:tcPr>
            <w:tcW w:w="1327" w:type="dxa"/>
            <w:shd w:val="clear" w:color="auto" w:fill="auto"/>
          </w:tcPr>
          <w:p w14:paraId="0C55725E" w14:textId="77777777" w:rsidR="00B05DA0" w:rsidRPr="00B05DA0" w:rsidRDefault="00B05DA0" w:rsidP="00B05DA0">
            <w:pPr>
              <w:rPr>
                <w:sz w:val="24"/>
                <w:szCs w:val="24"/>
              </w:rPr>
            </w:pPr>
            <w:r w:rsidRPr="00B05DA0">
              <w:rPr>
                <w:rFonts w:hint="eastAsia"/>
                <w:sz w:val="24"/>
                <w:szCs w:val="24"/>
              </w:rPr>
              <w:t>預算套數</w:t>
            </w:r>
          </w:p>
        </w:tc>
        <w:tc>
          <w:tcPr>
            <w:tcW w:w="1843" w:type="dxa"/>
            <w:shd w:val="clear" w:color="auto" w:fill="auto"/>
          </w:tcPr>
          <w:p w14:paraId="45113A4B" w14:textId="77777777" w:rsidR="00B05DA0" w:rsidRPr="00B05DA0" w:rsidRDefault="00B05DA0" w:rsidP="003E3F83">
            <w:pPr>
              <w:adjustRightInd/>
              <w:snapToGrid/>
              <w:ind w:leftChars="200" w:left="880" w:hangingChars="100" w:hanging="240"/>
              <w:jc w:val="right"/>
              <w:outlineLvl w:val="0"/>
              <w:rPr>
                <w:rFonts w:ascii="標楷體" w:eastAsia="標楷體" w:hAnsi="標楷體"/>
                <w:sz w:val="24"/>
                <w:szCs w:val="24"/>
              </w:rPr>
            </w:pPr>
            <w:r w:rsidRPr="00B05DA0">
              <w:rPr>
                <w:rFonts w:ascii="標楷體" w:eastAsia="標楷體" w:hAnsi="標楷體" w:hint="eastAsia"/>
                <w:sz w:val="24"/>
                <w:szCs w:val="24"/>
              </w:rPr>
              <w:t>1</w:t>
            </w:r>
            <w:r w:rsidRPr="00B05DA0">
              <w:rPr>
                <w:rFonts w:ascii="標楷體" w:eastAsia="標楷體" w:hAnsi="標楷體"/>
                <w:sz w:val="24"/>
                <w:szCs w:val="24"/>
              </w:rPr>
              <w:t>29,000</w:t>
            </w:r>
          </w:p>
        </w:tc>
        <w:tc>
          <w:tcPr>
            <w:tcW w:w="1984" w:type="dxa"/>
            <w:shd w:val="clear" w:color="auto" w:fill="auto"/>
          </w:tcPr>
          <w:p w14:paraId="40F62749" w14:textId="77777777" w:rsidR="00B05DA0" w:rsidRPr="00B05DA0" w:rsidRDefault="00B05DA0" w:rsidP="003E3F83">
            <w:pPr>
              <w:adjustRightInd/>
              <w:snapToGrid/>
              <w:ind w:leftChars="200" w:left="880" w:hangingChars="100" w:hanging="240"/>
              <w:jc w:val="right"/>
              <w:outlineLvl w:val="0"/>
              <w:rPr>
                <w:rFonts w:ascii="標楷體" w:eastAsia="標楷體" w:hAnsi="標楷體"/>
                <w:sz w:val="24"/>
                <w:szCs w:val="24"/>
              </w:rPr>
            </w:pPr>
            <w:r w:rsidRPr="00B05DA0">
              <w:rPr>
                <w:rFonts w:ascii="標楷體" w:eastAsia="標楷體" w:hAnsi="標楷體" w:hint="eastAsia"/>
                <w:sz w:val="24"/>
                <w:szCs w:val="24"/>
              </w:rPr>
              <w:t>1</w:t>
            </w:r>
            <w:r w:rsidRPr="00B05DA0">
              <w:rPr>
                <w:rFonts w:ascii="標楷體" w:eastAsia="標楷體" w:hAnsi="標楷體"/>
                <w:sz w:val="24"/>
                <w:szCs w:val="24"/>
              </w:rPr>
              <w:t>39,000</w:t>
            </w:r>
          </w:p>
        </w:tc>
        <w:tc>
          <w:tcPr>
            <w:tcW w:w="2126" w:type="dxa"/>
            <w:shd w:val="clear" w:color="auto" w:fill="auto"/>
          </w:tcPr>
          <w:p w14:paraId="3E4E05C5" w14:textId="77777777" w:rsidR="00B05DA0" w:rsidRPr="00B05DA0" w:rsidRDefault="00B05DA0" w:rsidP="003E3F83">
            <w:pPr>
              <w:adjustRightInd/>
              <w:snapToGrid/>
              <w:ind w:leftChars="200" w:left="880" w:hangingChars="100" w:hanging="240"/>
              <w:jc w:val="right"/>
              <w:outlineLvl w:val="0"/>
              <w:rPr>
                <w:rFonts w:ascii="標楷體" w:eastAsia="標楷體" w:hAnsi="標楷體"/>
                <w:sz w:val="24"/>
                <w:szCs w:val="24"/>
              </w:rPr>
            </w:pPr>
            <w:r w:rsidRPr="00B05DA0">
              <w:rPr>
                <w:rFonts w:ascii="標楷體" w:eastAsia="標楷體" w:hAnsi="標楷體" w:hint="eastAsia"/>
                <w:sz w:val="24"/>
                <w:szCs w:val="24"/>
              </w:rPr>
              <w:t>143</w:t>
            </w:r>
            <w:r w:rsidRPr="00B05DA0">
              <w:rPr>
                <w:rFonts w:ascii="標楷體" w:eastAsia="標楷體" w:hAnsi="標楷體"/>
                <w:sz w:val="24"/>
                <w:szCs w:val="24"/>
              </w:rPr>
              <w:t>,</w:t>
            </w:r>
            <w:r w:rsidRPr="00B05DA0">
              <w:rPr>
                <w:rFonts w:ascii="標楷體" w:eastAsia="標楷體" w:hAnsi="標楷體" w:hint="eastAsia"/>
                <w:sz w:val="24"/>
                <w:szCs w:val="24"/>
              </w:rPr>
              <w:t>000</w:t>
            </w:r>
          </w:p>
        </w:tc>
      </w:tr>
      <w:tr w:rsidR="00B05DA0" w:rsidRPr="00B05DA0" w14:paraId="2E0EEC46" w14:textId="77777777" w:rsidTr="00F66F0E">
        <w:tc>
          <w:tcPr>
            <w:tcW w:w="1327" w:type="dxa"/>
            <w:shd w:val="clear" w:color="auto" w:fill="auto"/>
          </w:tcPr>
          <w:p w14:paraId="010FB42B" w14:textId="77777777" w:rsidR="00B05DA0" w:rsidRPr="00B05DA0" w:rsidRDefault="00B05DA0" w:rsidP="00B05DA0">
            <w:pPr>
              <w:rPr>
                <w:sz w:val="24"/>
                <w:szCs w:val="24"/>
              </w:rPr>
            </w:pPr>
            <w:r w:rsidRPr="00B05DA0">
              <w:rPr>
                <w:rFonts w:hint="eastAsia"/>
                <w:sz w:val="24"/>
                <w:szCs w:val="24"/>
              </w:rPr>
              <w:t>決算套數</w:t>
            </w:r>
          </w:p>
        </w:tc>
        <w:tc>
          <w:tcPr>
            <w:tcW w:w="1843" w:type="dxa"/>
            <w:shd w:val="clear" w:color="auto" w:fill="auto"/>
          </w:tcPr>
          <w:p w14:paraId="527F82CD" w14:textId="77777777" w:rsidR="00B05DA0" w:rsidRPr="00B05DA0" w:rsidRDefault="00B05DA0" w:rsidP="003E3F83">
            <w:pPr>
              <w:adjustRightInd/>
              <w:snapToGrid/>
              <w:ind w:leftChars="200" w:left="880" w:hangingChars="100" w:hanging="240"/>
              <w:jc w:val="right"/>
              <w:outlineLvl w:val="0"/>
              <w:rPr>
                <w:rFonts w:ascii="標楷體" w:eastAsia="標楷體" w:hAnsi="標楷體"/>
                <w:sz w:val="24"/>
                <w:szCs w:val="24"/>
              </w:rPr>
            </w:pPr>
            <w:r w:rsidRPr="00B05DA0">
              <w:rPr>
                <w:rFonts w:ascii="標楷體" w:eastAsia="標楷體" w:hAnsi="標楷體" w:hint="eastAsia"/>
                <w:sz w:val="24"/>
                <w:szCs w:val="24"/>
              </w:rPr>
              <w:t>1</w:t>
            </w:r>
            <w:r w:rsidRPr="00B05DA0">
              <w:rPr>
                <w:rFonts w:ascii="標楷體" w:eastAsia="標楷體" w:hAnsi="標楷體"/>
                <w:sz w:val="24"/>
                <w:szCs w:val="24"/>
              </w:rPr>
              <w:t>16,000</w:t>
            </w:r>
          </w:p>
        </w:tc>
        <w:tc>
          <w:tcPr>
            <w:tcW w:w="1984" w:type="dxa"/>
            <w:shd w:val="clear" w:color="auto" w:fill="auto"/>
          </w:tcPr>
          <w:p w14:paraId="00C9E09F" w14:textId="77777777" w:rsidR="00B05DA0" w:rsidRPr="00B05DA0" w:rsidRDefault="00B05DA0" w:rsidP="003E3F83">
            <w:pPr>
              <w:adjustRightInd/>
              <w:snapToGrid/>
              <w:ind w:leftChars="200" w:left="880" w:hangingChars="100" w:hanging="240"/>
              <w:jc w:val="right"/>
              <w:outlineLvl w:val="0"/>
              <w:rPr>
                <w:rFonts w:ascii="標楷體" w:eastAsia="標楷體" w:hAnsi="標楷體"/>
                <w:sz w:val="24"/>
                <w:szCs w:val="24"/>
              </w:rPr>
            </w:pPr>
            <w:r w:rsidRPr="00B05DA0">
              <w:rPr>
                <w:rFonts w:ascii="標楷體" w:eastAsia="標楷體" w:hAnsi="標楷體" w:hint="eastAsia"/>
                <w:sz w:val="24"/>
                <w:szCs w:val="24"/>
              </w:rPr>
              <w:t>1</w:t>
            </w:r>
            <w:r w:rsidRPr="00B05DA0">
              <w:rPr>
                <w:rFonts w:ascii="標楷體" w:eastAsia="標楷體" w:hAnsi="標楷體"/>
                <w:sz w:val="24"/>
                <w:szCs w:val="24"/>
              </w:rPr>
              <w:t>29,000</w:t>
            </w:r>
          </w:p>
        </w:tc>
        <w:tc>
          <w:tcPr>
            <w:tcW w:w="2126" w:type="dxa"/>
            <w:shd w:val="clear" w:color="auto" w:fill="auto"/>
          </w:tcPr>
          <w:p w14:paraId="5BBAF326" w14:textId="77777777" w:rsidR="00B05DA0" w:rsidRPr="00B05DA0" w:rsidRDefault="00B05DA0" w:rsidP="003E3F83">
            <w:pPr>
              <w:adjustRightInd/>
              <w:snapToGrid/>
              <w:ind w:leftChars="200" w:left="880" w:hangingChars="100" w:hanging="240"/>
              <w:jc w:val="right"/>
              <w:outlineLvl w:val="0"/>
              <w:rPr>
                <w:rFonts w:ascii="標楷體" w:eastAsia="標楷體" w:hAnsi="標楷體"/>
                <w:sz w:val="24"/>
                <w:szCs w:val="24"/>
              </w:rPr>
            </w:pPr>
            <w:r w:rsidRPr="00B05DA0">
              <w:rPr>
                <w:rFonts w:ascii="標楷體" w:eastAsia="標楷體" w:hAnsi="標楷體" w:hint="eastAsia"/>
                <w:sz w:val="24"/>
                <w:szCs w:val="24"/>
              </w:rPr>
              <w:t>1</w:t>
            </w:r>
            <w:r w:rsidRPr="00B05DA0">
              <w:rPr>
                <w:rFonts w:ascii="標楷體" w:eastAsia="標楷體" w:hAnsi="標楷體"/>
                <w:sz w:val="24"/>
                <w:szCs w:val="24"/>
              </w:rPr>
              <w:t>39,000</w:t>
            </w:r>
          </w:p>
        </w:tc>
      </w:tr>
    </w:tbl>
    <w:p w14:paraId="0D8AF4DA" w14:textId="77777777" w:rsidR="00B05DA0" w:rsidRPr="00B05DA0" w:rsidRDefault="00B05DA0" w:rsidP="00B05DA0">
      <w:pPr>
        <w:adjustRightInd/>
        <w:snapToGrid/>
        <w:ind w:leftChars="200" w:left="880" w:right="480" w:hangingChars="100" w:hanging="240"/>
        <w:jc w:val="right"/>
        <w:outlineLvl w:val="0"/>
        <w:rPr>
          <w:rFonts w:ascii="標楷體" w:eastAsia="標楷體" w:hAnsi="標楷體"/>
          <w:sz w:val="24"/>
          <w:szCs w:val="24"/>
        </w:rPr>
      </w:pPr>
      <w:r w:rsidRPr="00B05DA0">
        <w:rPr>
          <w:rFonts w:ascii="標楷體" w:eastAsia="標楷體" w:hAnsi="標楷體" w:hint="eastAsia"/>
          <w:sz w:val="24"/>
          <w:szCs w:val="24"/>
        </w:rPr>
        <w:t>來源：中央銀行</w:t>
      </w:r>
    </w:p>
    <w:p w14:paraId="26E0043F"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提案人：張其祿　賴士葆　李貴敏　羅明才</w:t>
      </w:r>
    </w:p>
    <w:p w14:paraId="7B0FAF70" w14:textId="3BC8C4BC" w:rsidR="00B05DA0" w:rsidRPr="003E3F83" w:rsidRDefault="003E3F83"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3</w:t>
      </w:r>
      <w:r w:rsidR="00B05DA0" w:rsidRPr="00B05DA0">
        <w:rPr>
          <w:rFonts w:ascii="標楷體" w:eastAsia="標楷體" w:hAnsi="標楷體" w:hint="eastAsia"/>
        </w:rPr>
        <w:t>1.</w:t>
      </w:r>
      <w:r w:rsidR="00B05DA0" w:rsidRPr="003E3F83">
        <w:rPr>
          <w:rFonts w:ascii="標楷體" w:eastAsia="標楷體" w:hAnsi="標楷體" w:hint="eastAsia"/>
        </w:rPr>
        <w:t>111年度中央造幣廠預算案</w:t>
      </w:r>
      <w:r w:rsidR="00475C5C">
        <w:rPr>
          <w:rFonts w:ascii="標楷體" w:eastAsia="標楷體" w:hAnsi="標楷體" w:hint="eastAsia"/>
        </w:rPr>
        <w:t>中編列</w:t>
      </w:r>
      <w:r w:rsidR="00B05DA0" w:rsidRPr="003E3F83">
        <w:rPr>
          <w:rFonts w:ascii="標楷體" w:eastAsia="標楷體" w:hAnsi="標楷體" w:hint="eastAsia"/>
        </w:rPr>
        <w:t>「研究發展費用」1,191萬1千元，以達到加強研究發展，提升鑄幣及防偽水準。隨著生產技術及產品品質之提升，中央造幣廠</w:t>
      </w:r>
      <w:r w:rsidR="00B05DA0" w:rsidRPr="00475C5C">
        <w:rPr>
          <w:rFonts w:ascii="標楷體" w:eastAsia="標楷體" w:hAnsi="標楷體" w:hint="eastAsia"/>
        </w:rPr>
        <w:t>108至110年8</w:t>
      </w:r>
      <w:r w:rsidR="00B05DA0" w:rsidRPr="003E3F83">
        <w:rPr>
          <w:rFonts w:ascii="標楷體" w:eastAsia="標楷體" w:hAnsi="標楷體" w:hint="eastAsia"/>
        </w:rPr>
        <w:lastRenderedPageBreak/>
        <w:t>月底之壞幣率漸增，分別為0.093%、0.101%以及0.108%，</w:t>
      </w:r>
      <w:r w:rsidR="00475C5C" w:rsidRPr="00BC5A94">
        <w:rPr>
          <w:rFonts w:ascii="標楷體" w:eastAsia="標楷體" w:hAnsi="標楷體" w:hint="eastAsia"/>
        </w:rPr>
        <w:t>爰請</w:t>
      </w:r>
      <w:r w:rsidR="00B05DA0" w:rsidRPr="003E3F83">
        <w:rPr>
          <w:rFonts w:ascii="標楷體" w:eastAsia="標楷體" w:hAnsi="標楷體" w:hint="eastAsia"/>
        </w:rPr>
        <w:t>中央造幣廠於1個月向立法院財政委員會提出書面檢討報告。</w:t>
      </w:r>
    </w:p>
    <w:p w14:paraId="23CA51A0" w14:textId="77777777" w:rsidR="00B05DA0" w:rsidRPr="003E3F83" w:rsidRDefault="00B05DA0" w:rsidP="00B05DA0">
      <w:pPr>
        <w:adjustRightInd/>
        <w:snapToGrid/>
        <w:ind w:leftChars="300" w:left="960" w:firstLineChars="190" w:firstLine="608"/>
        <w:jc w:val="both"/>
        <w:outlineLvl w:val="0"/>
        <w:rPr>
          <w:rFonts w:ascii="標楷體" w:eastAsia="標楷體" w:hAnsi="標楷體"/>
        </w:rPr>
      </w:pPr>
      <w:r w:rsidRPr="003E3F83">
        <w:rPr>
          <w:rFonts w:ascii="標楷體" w:eastAsia="標楷體" w:hAnsi="標楷體" w:hint="eastAsia"/>
        </w:rPr>
        <w:t xml:space="preserve">　　　　　提案人：郭國文　</w:t>
      </w:r>
    </w:p>
    <w:p w14:paraId="23AA3D5F" w14:textId="77777777" w:rsidR="00B05DA0" w:rsidRPr="003E3F83" w:rsidRDefault="00B05DA0" w:rsidP="00B05DA0">
      <w:pPr>
        <w:adjustRightInd/>
        <w:snapToGrid/>
        <w:ind w:leftChars="300" w:left="960" w:firstLineChars="190" w:firstLine="608"/>
        <w:jc w:val="both"/>
        <w:outlineLvl w:val="0"/>
        <w:rPr>
          <w:rFonts w:ascii="標楷體" w:eastAsia="標楷體" w:hAnsi="標楷體"/>
        </w:rPr>
      </w:pPr>
      <w:r w:rsidRPr="003E3F83">
        <w:rPr>
          <w:rFonts w:ascii="標楷體" w:eastAsia="標楷體" w:hAnsi="標楷體" w:hint="eastAsia"/>
        </w:rPr>
        <w:t xml:space="preserve">　　　　　連署人：林楚茵　鍾佳濱</w:t>
      </w:r>
    </w:p>
    <w:p w14:paraId="55011B9C" w14:textId="5C2DB056" w:rsidR="00B05DA0" w:rsidRPr="00B05DA0" w:rsidRDefault="003E3F83"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32</w:t>
      </w:r>
      <w:r w:rsidR="00B05DA0" w:rsidRPr="00B05DA0">
        <w:rPr>
          <w:rFonts w:ascii="標楷體" w:eastAsia="標楷體" w:hAnsi="標楷體" w:hint="eastAsia"/>
        </w:rPr>
        <w:t>.111年度中央造幣廠預算案「存貨」編列9億9,557萬1千元，較110年度之9億7,987萬7千元增加1,569萬4千元，增幅1.60%。依中央造幣廠組織規程第2條規定：「中央造幣廠(以下簡稱本廠)直隸中央銀行，經營流通硬幣及紀念幣之鑄造、銷燬、回籠硬幣整理及承接印信、勳獎章鑄製等業務。」、「本廠得依業務及市場需求，兼營紀念章、牌及其他各種金屬鑄品業務，但不得妨礙前項業務。」準此，中央造幣廠得依業務及市場需求，兼營紀念章、牌及其他各種金屬鑄品業務。中央造幣廠為拓展副業收入，致力於兼營紀念章、牌及其他各種金屬鑄品業務，由該廠流通硬幣及紀念幣以外之各項產品產銷量與存貨情形以觀，該廠部分產品發行量與銷售量相差較大，故存貨仍多，應加強庫存產品推廣及拓展行銷通路，並於1個月內研議降低庫存計畫向立法院財政委員會提出</w:t>
      </w:r>
      <w:r w:rsidR="00B05DA0" w:rsidRPr="003E3F83">
        <w:rPr>
          <w:rFonts w:ascii="標楷體" w:eastAsia="標楷體" w:hAnsi="標楷體" w:hint="eastAsia"/>
        </w:rPr>
        <w:t>書面</w:t>
      </w:r>
      <w:r w:rsidR="00B05DA0" w:rsidRPr="00B05DA0">
        <w:rPr>
          <w:rFonts w:ascii="標楷體" w:eastAsia="標楷體" w:hAnsi="標楷體" w:hint="eastAsia"/>
        </w:rPr>
        <w:t>報告。</w:t>
      </w:r>
    </w:p>
    <w:p w14:paraId="268D0F0F"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提案人：李貴敏　張其祿　林德福　曾銘宗</w:t>
      </w:r>
    </w:p>
    <w:p w14:paraId="0C876EB2" w14:textId="707F5419" w:rsidR="00B05DA0" w:rsidRPr="00B05DA0" w:rsidRDefault="006F0D9A"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33</w:t>
      </w:r>
      <w:r w:rsidR="00B05DA0" w:rsidRPr="00B05DA0">
        <w:rPr>
          <w:rFonts w:ascii="標楷體" w:eastAsia="標楷體" w:hAnsi="標楷體" w:hint="eastAsia"/>
        </w:rPr>
        <w:t>.111年度中央造幣廠預計生產4億8,000萬枚硬幣，包括：50元幣6,000萬枚、10元幣1億8,000萬枚、5元幣6,000萬枚、1元幣1億8,000萬枚，預計總產品成本為12億7,770萬8千元，中央造幣廠受中央銀行委託整理回籠硬幣，惟該廠近年整理回籠硬幣漸減，而庫存未整理回籠硬幣漸增，應儘速整理庫存未整理回籠硬幣，以維持已發行硬幣整潔及適於流通，並減少鑄幣成本及提升資源使用效益。爰此，中央造幣廠應於1個月內訂定整理回籠硬幣時間表向立</w:t>
      </w:r>
      <w:r w:rsidR="00B05DA0" w:rsidRPr="00B05DA0">
        <w:rPr>
          <w:rFonts w:ascii="標楷體" w:eastAsia="標楷體" w:hAnsi="標楷體" w:hint="eastAsia"/>
        </w:rPr>
        <w:lastRenderedPageBreak/>
        <w:t>法院財政委員會提出</w:t>
      </w:r>
      <w:r w:rsidR="00B05DA0" w:rsidRPr="003E3F83">
        <w:rPr>
          <w:rFonts w:ascii="標楷體" w:eastAsia="標楷體" w:hAnsi="標楷體" w:hint="eastAsia"/>
        </w:rPr>
        <w:t>書面</w:t>
      </w:r>
      <w:r w:rsidR="00B05DA0" w:rsidRPr="00B05DA0">
        <w:rPr>
          <w:rFonts w:ascii="標楷體" w:eastAsia="標楷體" w:hAnsi="標楷體" w:hint="eastAsia"/>
        </w:rPr>
        <w:t>報告。</w:t>
      </w:r>
    </w:p>
    <w:p w14:paraId="42AE57A3"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提案人：李貴敏　張其祿　林德福　曾銘宗</w:t>
      </w:r>
    </w:p>
    <w:p w14:paraId="3564F22A" w14:textId="2A1DFF27" w:rsidR="00B05DA0" w:rsidRPr="00B05DA0" w:rsidRDefault="006F0D9A"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34</w:t>
      </w:r>
      <w:r w:rsidR="00B05DA0" w:rsidRPr="00B05DA0">
        <w:rPr>
          <w:rFonts w:ascii="標楷體" w:eastAsia="標楷體" w:hAnsi="標楷體" w:hint="eastAsia"/>
        </w:rPr>
        <w:t>.中央造幣廠依規定受託整理回籠硬幣，而近年來整理回籠硬幣量自104年度7,370萬枚減少至109年度3,440萬枚，且庫存未整理回籠幣量自104年2,278萬枚增至109年之2億3,073萬枚，爰要求中央造幣廠應儘速建立機器整理回籠硬幣相關作業機制，以維持已發行硬幣整潔及流通。</w:t>
      </w:r>
    </w:p>
    <w:p w14:paraId="7CAB08F3"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提案人：郭國文</w:t>
      </w:r>
    </w:p>
    <w:p w14:paraId="48834E5C"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連署人：林楚茵　鍾佳濱</w:t>
      </w:r>
    </w:p>
    <w:p w14:paraId="7061F177" w14:textId="365DF7AD" w:rsidR="00B05DA0" w:rsidRPr="00B05DA0" w:rsidRDefault="006F0D9A"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35</w:t>
      </w:r>
      <w:r w:rsidR="00B05DA0" w:rsidRPr="00B05DA0">
        <w:rPr>
          <w:rFonts w:ascii="標楷體" w:eastAsia="標楷體" w:hAnsi="標楷體" w:hint="eastAsia"/>
        </w:rPr>
        <w:t>.硬幣具有價值低且攜帶不便之特性，加以電子支付工具蓬勃發展，硬幣回流管道持續減少，然中央銀行每年仍需新發行大量硬幣以應零售商店或民眾兌幣找零之需求。鑄幣屬高耗能產業，且發行硬幣尚需支付調撥及運輸等成本，中央銀行雖於103年7月推動硬幣再流通計畫，建立硬幣再流通管道，鼓勵各銀行業者增設硬幣存款機，惟查截至110年底止，我國提供硬幣存款之存款機僅507台，不及ATM總數3萬0,300台之2%。顯示硬幣存款機之設置尚未普及化，服務之可近性欠佳，影響民眾存入硬幣之意願。爰建請中央銀行就如何加強與金融機構及相關業者之合作，積極拓展硬幣回流管道，並賡續強化相關政策之宣導，以有效運用鑄幣資源，於1個月內向立法院財政委員會提出書面報告。</w:t>
      </w:r>
    </w:p>
    <w:p w14:paraId="78795E75"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提案人：林楚茵　鍾佳濱　沈發惠</w:t>
      </w:r>
    </w:p>
    <w:p w14:paraId="6329B500" w14:textId="5A989D20" w:rsidR="00B05DA0" w:rsidRPr="003E3F83" w:rsidRDefault="006F0D9A"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36</w:t>
      </w:r>
      <w:r w:rsidR="00B05DA0" w:rsidRPr="00B05DA0">
        <w:rPr>
          <w:rFonts w:ascii="標楷體" w:eastAsia="標楷體" w:hAnsi="標楷體" w:hint="eastAsia"/>
        </w:rPr>
        <w:t>.</w:t>
      </w:r>
      <w:r w:rsidR="00B05DA0" w:rsidRPr="003E3F83">
        <w:rPr>
          <w:rFonts w:ascii="標楷體" w:eastAsia="標楷體" w:hAnsi="標楷體"/>
        </w:rPr>
        <w:t>111</w:t>
      </w:r>
      <w:r w:rsidR="00B05DA0" w:rsidRPr="003E3F83">
        <w:rPr>
          <w:rFonts w:ascii="標楷體" w:eastAsia="標楷體" w:hAnsi="標楷體" w:hint="eastAsia"/>
        </w:rPr>
        <w:t>年度中央印製廠預算案編列之本期淨利為</w:t>
      </w:r>
      <w:r w:rsidR="00B05DA0" w:rsidRPr="003E3F83">
        <w:rPr>
          <w:rFonts w:ascii="標楷體" w:eastAsia="標楷體" w:hAnsi="標楷體"/>
        </w:rPr>
        <w:t>7億3,984萬5</w:t>
      </w:r>
      <w:r w:rsidR="00B05DA0" w:rsidRPr="003E3F83">
        <w:rPr>
          <w:rFonts w:ascii="標楷體" w:eastAsia="標楷體" w:hAnsi="標楷體" w:hint="eastAsia"/>
        </w:rPr>
        <w:t>千元，較</w:t>
      </w:r>
      <w:r w:rsidR="00B05DA0" w:rsidRPr="003E3F83">
        <w:rPr>
          <w:rFonts w:ascii="標楷體" w:eastAsia="標楷體" w:hAnsi="標楷體"/>
        </w:rPr>
        <w:t>110</w:t>
      </w:r>
      <w:r w:rsidR="00B05DA0" w:rsidRPr="003E3F83">
        <w:rPr>
          <w:rFonts w:ascii="標楷體" w:eastAsia="標楷體" w:hAnsi="標楷體" w:hint="eastAsia"/>
        </w:rPr>
        <w:t>年度預算數</w:t>
      </w:r>
      <w:r w:rsidR="00B05DA0" w:rsidRPr="003E3F83">
        <w:rPr>
          <w:rFonts w:ascii="標楷體" w:eastAsia="標楷體" w:hAnsi="標楷體"/>
        </w:rPr>
        <w:t>7億8,967萬3</w:t>
      </w:r>
      <w:r w:rsidR="00B05DA0" w:rsidRPr="003E3F83">
        <w:rPr>
          <w:rFonts w:ascii="標楷體" w:eastAsia="標楷體" w:hAnsi="標楷體" w:hint="eastAsia"/>
        </w:rPr>
        <w:t>千元、</w:t>
      </w:r>
      <w:r w:rsidR="00B05DA0" w:rsidRPr="003E3F83">
        <w:rPr>
          <w:rFonts w:ascii="標楷體" w:eastAsia="標楷體" w:hAnsi="標楷體"/>
        </w:rPr>
        <w:t>109</w:t>
      </w:r>
      <w:r w:rsidR="00B05DA0" w:rsidRPr="003E3F83">
        <w:rPr>
          <w:rFonts w:ascii="標楷體" w:eastAsia="標楷體" w:hAnsi="標楷體" w:hint="eastAsia"/>
        </w:rPr>
        <w:t>年度決算數</w:t>
      </w:r>
      <w:r w:rsidR="00B05DA0" w:rsidRPr="003E3F83">
        <w:rPr>
          <w:rFonts w:ascii="標楷體" w:eastAsia="標楷體" w:hAnsi="標楷體"/>
        </w:rPr>
        <w:t>8億9,332萬6</w:t>
      </w:r>
      <w:r w:rsidR="00B05DA0" w:rsidRPr="003E3F83">
        <w:rPr>
          <w:rFonts w:ascii="標楷體" w:eastAsia="標楷體" w:hAnsi="標楷體" w:hint="eastAsia"/>
        </w:rPr>
        <w:t>千元，分別減編</w:t>
      </w:r>
      <w:r w:rsidR="00B05DA0" w:rsidRPr="003E3F83">
        <w:rPr>
          <w:rFonts w:ascii="標楷體" w:eastAsia="標楷體" w:hAnsi="標楷體"/>
        </w:rPr>
        <w:t>4,982萬8</w:t>
      </w:r>
      <w:r w:rsidR="00B05DA0" w:rsidRPr="003E3F83">
        <w:rPr>
          <w:rFonts w:ascii="標楷體" w:eastAsia="標楷體" w:hAnsi="標楷體" w:hint="eastAsia"/>
        </w:rPr>
        <w:t>千元</w:t>
      </w:r>
      <w:r w:rsidR="00B05DA0" w:rsidRPr="003E3F83">
        <w:rPr>
          <w:rFonts w:ascii="標楷體" w:eastAsia="標楷體" w:hAnsi="標楷體"/>
        </w:rPr>
        <w:t>(</w:t>
      </w:r>
      <w:r w:rsidR="00B05DA0" w:rsidRPr="003E3F83">
        <w:rPr>
          <w:rFonts w:ascii="標楷體" w:eastAsia="標楷體" w:hAnsi="標楷體" w:hint="eastAsia"/>
        </w:rPr>
        <w:t>減幅</w:t>
      </w:r>
      <w:r w:rsidR="00B05DA0" w:rsidRPr="003E3F83">
        <w:rPr>
          <w:rFonts w:ascii="標楷體" w:eastAsia="標楷體" w:hAnsi="標楷體"/>
        </w:rPr>
        <w:t>6.31%)</w:t>
      </w:r>
      <w:r w:rsidR="00B05DA0" w:rsidRPr="003E3F83">
        <w:rPr>
          <w:rFonts w:ascii="標楷體" w:eastAsia="標楷體" w:hAnsi="標楷體" w:hint="eastAsia"/>
        </w:rPr>
        <w:t>、</w:t>
      </w:r>
      <w:r w:rsidR="00B05DA0" w:rsidRPr="003E3F83">
        <w:rPr>
          <w:rFonts w:ascii="標楷體" w:eastAsia="標楷體" w:hAnsi="標楷體"/>
        </w:rPr>
        <w:t>1億5,348萬1</w:t>
      </w:r>
      <w:r w:rsidR="00B05DA0" w:rsidRPr="003E3F83">
        <w:rPr>
          <w:rFonts w:ascii="標楷體" w:eastAsia="標楷體" w:hAnsi="標楷體" w:hint="eastAsia"/>
        </w:rPr>
        <w:t>千元</w:t>
      </w:r>
      <w:r w:rsidR="00B05DA0" w:rsidRPr="003E3F83">
        <w:rPr>
          <w:rFonts w:ascii="標楷體" w:eastAsia="標楷體" w:hAnsi="標楷體"/>
        </w:rPr>
        <w:t>(</w:t>
      </w:r>
      <w:r w:rsidR="00B05DA0" w:rsidRPr="003E3F83">
        <w:rPr>
          <w:rFonts w:ascii="標楷體" w:eastAsia="標楷體" w:hAnsi="標楷體" w:hint="eastAsia"/>
        </w:rPr>
        <w:t>減幅</w:t>
      </w:r>
      <w:r w:rsidR="00B05DA0" w:rsidRPr="003E3F83">
        <w:rPr>
          <w:rFonts w:ascii="標楷體" w:eastAsia="標楷體" w:hAnsi="標楷體"/>
        </w:rPr>
        <w:t>17.18%)</w:t>
      </w:r>
      <w:r w:rsidR="00B05DA0" w:rsidRPr="003E3F83">
        <w:rPr>
          <w:rFonts w:ascii="標楷體" w:eastAsia="標楷體" w:hAnsi="標楷體" w:hint="eastAsia"/>
        </w:rPr>
        <w:t>，依附屬單位預算共同項目編列作業規範規定，營業基金盈餘之編列，應衡酌事業本身最近年度之投資報酬率及經營成果比率，妥</w:t>
      </w:r>
      <w:r w:rsidR="00B05DA0" w:rsidRPr="003E3F83">
        <w:rPr>
          <w:rFonts w:ascii="標楷體" w:eastAsia="標楷體" w:hAnsi="標楷體" w:hint="eastAsia"/>
        </w:rPr>
        <w:lastRenderedPageBreak/>
        <w:t>訂適當盈餘目標，並以盈餘逐年成長為目標。是以，事業過去之經營實績乃訂定盈餘目標之重要參據，以偏低之預算盈餘作為年度達成目標，不利提升營運績效，爰要求中央印製廠針對本期淨利及銷貨成本於3個月內向立法院財政委員會提出書面報告。</w:t>
      </w:r>
    </w:p>
    <w:p w14:paraId="08725FFB" w14:textId="22BF7FFF" w:rsidR="003E3F83" w:rsidRDefault="006064BE" w:rsidP="00BC5A94">
      <w:pPr>
        <w:widowControl/>
        <w:kinsoku/>
        <w:overflowPunct/>
        <w:autoSpaceDE w:val="0"/>
        <w:autoSpaceDN w:val="0"/>
        <w:snapToGrid/>
        <w:spacing w:line="440" w:lineRule="exact"/>
        <w:ind w:firstLineChars="711" w:firstLine="1706"/>
        <w:jc w:val="center"/>
        <w:rPr>
          <w:rFonts w:ascii="標楷體" w:eastAsia="標楷體" w:hAnsi="標楷體" w:cs="Microsoft YaHei"/>
          <w:kern w:val="0"/>
          <w:sz w:val="24"/>
          <w:szCs w:val="24"/>
        </w:rPr>
      </w:pPr>
      <w:r w:rsidRPr="00B05DA0">
        <w:rPr>
          <w:rFonts w:ascii="標楷體" w:eastAsia="標楷體" w:hAnsi="標楷體" w:cs="Microsoft YaHei" w:hint="eastAsia"/>
          <w:kern w:val="0"/>
          <w:sz w:val="24"/>
          <w:szCs w:val="24"/>
        </w:rPr>
        <w:t>1</w:t>
      </w:r>
      <w:r w:rsidRPr="00B05DA0">
        <w:rPr>
          <w:rFonts w:ascii="標楷體" w:eastAsia="標楷體" w:hAnsi="標楷體" w:cs="Microsoft YaHei"/>
          <w:kern w:val="0"/>
          <w:sz w:val="24"/>
          <w:szCs w:val="24"/>
        </w:rPr>
        <w:t>0</w:t>
      </w:r>
      <w:r w:rsidRPr="00B05DA0">
        <w:rPr>
          <w:rFonts w:ascii="標楷體" w:eastAsia="標楷體" w:hAnsi="標楷體" w:cs="Microsoft YaHei" w:hint="eastAsia"/>
          <w:kern w:val="0"/>
          <w:sz w:val="24"/>
          <w:szCs w:val="24"/>
        </w:rPr>
        <w:t>7</w:t>
      </w:r>
      <w:r w:rsidRPr="00B05DA0">
        <w:rPr>
          <w:rFonts w:ascii="標楷體" w:eastAsia="標楷體" w:hAnsi="標楷體" w:cs="Microsoft YaHei"/>
          <w:kern w:val="0"/>
          <w:sz w:val="24"/>
          <w:szCs w:val="24"/>
        </w:rPr>
        <w:t>~</w:t>
      </w:r>
      <w:r w:rsidRPr="00B05DA0">
        <w:rPr>
          <w:rFonts w:ascii="標楷體" w:eastAsia="標楷體" w:hAnsi="標楷體" w:cs="Microsoft YaHei" w:hint="eastAsia"/>
          <w:kern w:val="0"/>
          <w:sz w:val="24"/>
          <w:szCs w:val="24"/>
        </w:rPr>
        <w:t>111年度</w:t>
      </w:r>
      <w:r w:rsidR="00B05DA0" w:rsidRPr="00B05DA0">
        <w:rPr>
          <w:rFonts w:ascii="標楷體" w:eastAsia="標楷體" w:hAnsi="標楷體" w:cs="Microsoft YaHei" w:hint="eastAsia"/>
          <w:kern w:val="0"/>
          <w:sz w:val="24"/>
          <w:szCs w:val="24"/>
        </w:rPr>
        <w:t>中央印製廠本期淨利預決算情形表</w:t>
      </w:r>
    </w:p>
    <w:p w14:paraId="08B2F8AD" w14:textId="228CA3BD" w:rsidR="00B05DA0" w:rsidRPr="00B05DA0" w:rsidRDefault="00B05DA0" w:rsidP="003E3F83">
      <w:pPr>
        <w:widowControl/>
        <w:kinsoku/>
        <w:overflowPunct/>
        <w:autoSpaceDE w:val="0"/>
        <w:autoSpaceDN w:val="0"/>
        <w:snapToGrid/>
        <w:spacing w:line="440" w:lineRule="exact"/>
        <w:ind w:firstLineChars="653" w:firstLine="1567"/>
        <w:jc w:val="right"/>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單位:新台幣千元</w:t>
      </w:r>
    </w:p>
    <w:tbl>
      <w:tblPr>
        <w:tblStyle w:val="2"/>
        <w:tblW w:w="7766" w:type="dxa"/>
        <w:tblInd w:w="1838" w:type="dxa"/>
        <w:tblLayout w:type="fixed"/>
        <w:tblLook w:val="04A0" w:firstRow="1" w:lastRow="0" w:firstColumn="1" w:lastColumn="0" w:noHBand="0" w:noVBand="1"/>
      </w:tblPr>
      <w:tblGrid>
        <w:gridCol w:w="1276"/>
        <w:gridCol w:w="1417"/>
        <w:gridCol w:w="1134"/>
        <w:gridCol w:w="1418"/>
        <w:gridCol w:w="1276"/>
        <w:gridCol w:w="1245"/>
      </w:tblGrid>
      <w:tr w:rsidR="00B05DA0" w:rsidRPr="00B05DA0" w14:paraId="2157A4FA" w14:textId="77777777" w:rsidTr="006F0D9A">
        <w:tc>
          <w:tcPr>
            <w:tcW w:w="1276" w:type="dxa"/>
          </w:tcPr>
          <w:p w14:paraId="54FAC80F" w14:textId="77777777" w:rsidR="00B05DA0" w:rsidRPr="00B05DA0" w:rsidRDefault="00B05DA0" w:rsidP="00B05DA0">
            <w:pPr>
              <w:widowControl/>
              <w:kinsoku/>
              <w:overflowPunct/>
              <w:autoSpaceDE w:val="0"/>
              <w:autoSpaceDN w:val="0"/>
              <w:snapToGrid/>
              <w:spacing w:line="52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項  目</w:t>
            </w:r>
          </w:p>
        </w:tc>
        <w:tc>
          <w:tcPr>
            <w:tcW w:w="1417" w:type="dxa"/>
          </w:tcPr>
          <w:p w14:paraId="33D9BEAB"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107年度</w:t>
            </w:r>
          </w:p>
          <w:p w14:paraId="43746A15"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決算數</w:t>
            </w:r>
          </w:p>
        </w:tc>
        <w:tc>
          <w:tcPr>
            <w:tcW w:w="1134" w:type="dxa"/>
          </w:tcPr>
          <w:p w14:paraId="641677CD"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108年度</w:t>
            </w:r>
          </w:p>
          <w:p w14:paraId="4CFEDAF3"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決算數</w:t>
            </w:r>
          </w:p>
        </w:tc>
        <w:tc>
          <w:tcPr>
            <w:tcW w:w="1418" w:type="dxa"/>
          </w:tcPr>
          <w:p w14:paraId="68227032"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109年度</w:t>
            </w:r>
          </w:p>
          <w:p w14:paraId="0C3718CA"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決算數</w:t>
            </w:r>
          </w:p>
        </w:tc>
        <w:tc>
          <w:tcPr>
            <w:tcW w:w="1276" w:type="dxa"/>
          </w:tcPr>
          <w:p w14:paraId="38BEC311"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110年度</w:t>
            </w:r>
          </w:p>
          <w:p w14:paraId="094E3A2C"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預算數</w:t>
            </w:r>
          </w:p>
        </w:tc>
        <w:tc>
          <w:tcPr>
            <w:tcW w:w="1245" w:type="dxa"/>
          </w:tcPr>
          <w:p w14:paraId="191A590B"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111年度</w:t>
            </w:r>
          </w:p>
          <w:p w14:paraId="22D6B12C" w14:textId="77777777" w:rsidR="00B05DA0" w:rsidRPr="00B05DA0" w:rsidRDefault="00B05DA0" w:rsidP="00B05DA0">
            <w:pPr>
              <w:widowControl/>
              <w:kinsoku/>
              <w:overflowPunct/>
              <w:autoSpaceDE w:val="0"/>
              <w:autoSpaceDN w:val="0"/>
              <w:snapToGrid/>
              <w:spacing w:line="360" w:lineRule="exact"/>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預算數</w:t>
            </w:r>
          </w:p>
        </w:tc>
      </w:tr>
      <w:tr w:rsidR="00B05DA0" w:rsidRPr="00B05DA0" w14:paraId="3665E73F" w14:textId="77777777" w:rsidTr="006F0D9A">
        <w:tc>
          <w:tcPr>
            <w:tcW w:w="1276" w:type="dxa"/>
          </w:tcPr>
          <w:p w14:paraId="3A60C2F1" w14:textId="77777777" w:rsidR="00B05DA0" w:rsidRPr="00B05DA0" w:rsidRDefault="00B05DA0" w:rsidP="00B05DA0">
            <w:pPr>
              <w:widowControl/>
              <w:kinsoku/>
              <w:overflowPunct/>
              <w:adjustRightInd/>
              <w:snapToGrid/>
              <w:spacing w:beforeLines="50" w:before="180" w:line="240" w:lineRule="auto"/>
              <w:jc w:val="center"/>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本期淨利</w:t>
            </w:r>
          </w:p>
        </w:tc>
        <w:tc>
          <w:tcPr>
            <w:tcW w:w="1417" w:type="dxa"/>
          </w:tcPr>
          <w:p w14:paraId="2D237344" w14:textId="77777777" w:rsidR="00B05DA0" w:rsidRPr="00B05DA0" w:rsidRDefault="00B05DA0" w:rsidP="003E3F83">
            <w:pPr>
              <w:widowControl/>
              <w:kinsoku/>
              <w:overflowPunct/>
              <w:adjustRightInd/>
              <w:snapToGrid/>
              <w:spacing w:beforeLines="50" w:before="180" w:line="240" w:lineRule="auto"/>
              <w:jc w:val="right"/>
              <w:rPr>
                <w:rFonts w:ascii="標楷體" w:eastAsia="標楷體" w:hAnsi="標楷體" w:cs="DFKaiShu-SB-Estd-BF"/>
                <w:kern w:val="0"/>
                <w:sz w:val="24"/>
                <w:szCs w:val="24"/>
              </w:rPr>
            </w:pPr>
            <w:r w:rsidRPr="00B05DA0">
              <w:rPr>
                <w:rFonts w:ascii="標楷體" w:eastAsia="標楷體" w:hAnsi="標楷體" w:cs="DFKaiShu-SB-Estd-BF"/>
                <w:kern w:val="0"/>
                <w:sz w:val="24"/>
                <w:szCs w:val="24"/>
              </w:rPr>
              <w:t>885,028</w:t>
            </w:r>
          </w:p>
        </w:tc>
        <w:tc>
          <w:tcPr>
            <w:tcW w:w="1134" w:type="dxa"/>
          </w:tcPr>
          <w:p w14:paraId="4409B7C4" w14:textId="77777777" w:rsidR="00B05DA0" w:rsidRPr="00B05DA0" w:rsidRDefault="00B05DA0" w:rsidP="003E3F83">
            <w:pPr>
              <w:widowControl/>
              <w:kinsoku/>
              <w:overflowPunct/>
              <w:adjustRightInd/>
              <w:snapToGrid/>
              <w:spacing w:beforeLines="50" w:before="180" w:line="240" w:lineRule="auto"/>
              <w:jc w:val="right"/>
              <w:rPr>
                <w:rFonts w:ascii="標楷體" w:eastAsia="標楷體" w:hAnsi="標楷體" w:cs="DFKaiShu-SB-Estd-BF"/>
                <w:kern w:val="0"/>
                <w:sz w:val="24"/>
                <w:szCs w:val="24"/>
              </w:rPr>
            </w:pPr>
            <w:r w:rsidRPr="00B05DA0">
              <w:rPr>
                <w:rFonts w:ascii="標楷體" w:eastAsia="標楷體" w:hAnsi="標楷體" w:cs="DFKaiShu-SB-Estd-BF"/>
                <w:kern w:val="0"/>
                <w:sz w:val="24"/>
                <w:szCs w:val="24"/>
              </w:rPr>
              <w:t>914,981</w:t>
            </w:r>
          </w:p>
        </w:tc>
        <w:tc>
          <w:tcPr>
            <w:tcW w:w="1418" w:type="dxa"/>
          </w:tcPr>
          <w:p w14:paraId="43DBBFA8" w14:textId="77777777" w:rsidR="00B05DA0" w:rsidRPr="00B05DA0" w:rsidRDefault="00B05DA0" w:rsidP="003E3F83">
            <w:pPr>
              <w:widowControl/>
              <w:kinsoku/>
              <w:overflowPunct/>
              <w:adjustRightInd/>
              <w:snapToGrid/>
              <w:spacing w:beforeLines="50" w:before="180" w:line="240" w:lineRule="auto"/>
              <w:jc w:val="right"/>
              <w:rPr>
                <w:rFonts w:ascii="標楷體" w:eastAsia="標楷體" w:hAnsi="標楷體" w:cs="DFKaiShu-SB-Estd-BF"/>
                <w:kern w:val="0"/>
                <w:sz w:val="24"/>
                <w:szCs w:val="24"/>
              </w:rPr>
            </w:pPr>
            <w:r w:rsidRPr="00B05DA0">
              <w:rPr>
                <w:rFonts w:ascii="標楷體" w:eastAsia="標楷體" w:hAnsi="標楷體" w:cs="DFKaiShu-SB-Estd-BF"/>
                <w:kern w:val="0"/>
                <w:sz w:val="24"/>
                <w:szCs w:val="24"/>
              </w:rPr>
              <w:t>893,326</w:t>
            </w:r>
          </w:p>
        </w:tc>
        <w:tc>
          <w:tcPr>
            <w:tcW w:w="1276" w:type="dxa"/>
          </w:tcPr>
          <w:p w14:paraId="6054679F" w14:textId="77777777" w:rsidR="00B05DA0" w:rsidRPr="00B05DA0" w:rsidRDefault="00B05DA0" w:rsidP="003E3F83">
            <w:pPr>
              <w:widowControl/>
              <w:kinsoku/>
              <w:overflowPunct/>
              <w:adjustRightInd/>
              <w:snapToGrid/>
              <w:spacing w:beforeLines="50" w:before="180" w:line="240" w:lineRule="auto"/>
              <w:jc w:val="right"/>
              <w:rPr>
                <w:rFonts w:ascii="標楷體" w:eastAsia="標楷體" w:hAnsi="標楷體" w:cs="DFKaiShu-SB-Estd-BF"/>
                <w:kern w:val="0"/>
                <w:sz w:val="24"/>
                <w:szCs w:val="24"/>
              </w:rPr>
            </w:pPr>
            <w:r w:rsidRPr="00B05DA0">
              <w:rPr>
                <w:rFonts w:ascii="標楷體" w:eastAsia="標楷體" w:hAnsi="標楷體" w:cs="DFKaiShu-SB-Estd-BF"/>
                <w:kern w:val="0"/>
                <w:sz w:val="24"/>
                <w:szCs w:val="24"/>
              </w:rPr>
              <w:t>789,673</w:t>
            </w:r>
          </w:p>
        </w:tc>
        <w:tc>
          <w:tcPr>
            <w:tcW w:w="1245" w:type="dxa"/>
          </w:tcPr>
          <w:p w14:paraId="21182591" w14:textId="77777777" w:rsidR="00B05DA0" w:rsidRPr="00B05DA0" w:rsidRDefault="00B05DA0" w:rsidP="003E3F83">
            <w:pPr>
              <w:widowControl/>
              <w:kinsoku/>
              <w:overflowPunct/>
              <w:adjustRightInd/>
              <w:snapToGrid/>
              <w:spacing w:beforeLines="50" w:before="180" w:line="240" w:lineRule="auto"/>
              <w:jc w:val="right"/>
              <w:rPr>
                <w:rFonts w:ascii="標楷體" w:eastAsia="標楷體" w:hAnsi="標楷體" w:cs="DFKaiShu-SB-Estd-BF"/>
                <w:kern w:val="0"/>
                <w:sz w:val="24"/>
                <w:szCs w:val="24"/>
              </w:rPr>
            </w:pPr>
            <w:r w:rsidRPr="00B05DA0">
              <w:rPr>
                <w:rFonts w:ascii="標楷體" w:eastAsia="標楷體" w:hAnsi="標楷體" w:cs="DFKaiShu-SB-Estd-BF"/>
                <w:kern w:val="0"/>
                <w:sz w:val="24"/>
                <w:szCs w:val="24"/>
              </w:rPr>
              <w:t>739,845</w:t>
            </w:r>
          </w:p>
        </w:tc>
      </w:tr>
    </w:tbl>
    <w:p w14:paraId="7E651EDE" w14:textId="77777777" w:rsidR="00B05DA0" w:rsidRPr="00B05DA0" w:rsidRDefault="00B05DA0" w:rsidP="006F0D9A">
      <w:pPr>
        <w:widowControl/>
        <w:kinsoku/>
        <w:overflowPunct/>
        <w:autoSpaceDE w:val="0"/>
        <w:autoSpaceDN w:val="0"/>
        <w:snapToGrid/>
        <w:spacing w:line="520" w:lineRule="exact"/>
        <w:ind w:firstLineChars="746" w:firstLine="1790"/>
        <w:jc w:val="both"/>
        <w:rPr>
          <w:rFonts w:ascii="標楷體" w:eastAsia="標楷體" w:hAnsi="標楷體" w:cs="DFKaiShu-SB-Estd-BF"/>
          <w:kern w:val="0"/>
          <w:sz w:val="24"/>
          <w:szCs w:val="24"/>
        </w:rPr>
      </w:pPr>
      <w:r w:rsidRPr="00B05DA0">
        <w:rPr>
          <w:rFonts w:ascii="標楷體" w:eastAsia="標楷體" w:hAnsi="標楷體" w:cs="DFKaiShu-SB-Estd-BF" w:hint="eastAsia"/>
          <w:kern w:val="0"/>
          <w:sz w:val="24"/>
          <w:szCs w:val="24"/>
        </w:rPr>
        <w:t>註:110年度截至11月底止本期淨利為</w:t>
      </w:r>
      <w:r w:rsidRPr="00B05DA0">
        <w:rPr>
          <w:rFonts w:ascii="標楷體" w:eastAsia="標楷體" w:hAnsi="標楷體" w:cs="DFKaiShu-SB-Estd-BF"/>
          <w:kern w:val="0"/>
          <w:sz w:val="24"/>
          <w:szCs w:val="24"/>
        </w:rPr>
        <w:t>775,004</w:t>
      </w:r>
      <w:r w:rsidRPr="00B05DA0">
        <w:rPr>
          <w:rFonts w:ascii="標楷體" w:eastAsia="標楷體" w:hAnsi="標楷體" w:cs="DFKaiShu-SB-Estd-BF" w:hint="eastAsia"/>
          <w:kern w:val="0"/>
          <w:sz w:val="24"/>
          <w:szCs w:val="24"/>
        </w:rPr>
        <w:t>千元。</w:t>
      </w:r>
    </w:p>
    <w:p w14:paraId="21D7E556" w14:textId="2C6BAF83" w:rsidR="00B05DA0" w:rsidRPr="00B05DA0" w:rsidRDefault="00B05DA0" w:rsidP="003E3F83">
      <w:pPr>
        <w:adjustRightInd/>
        <w:snapToGrid/>
        <w:ind w:leftChars="300" w:left="960" w:firstLineChars="190" w:firstLine="608"/>
        <w:jc w:val="both"/>
        <w:outlineLvl w:val="0"/>
        <w:rPr>
          <w:rFonts w:ascii="標楷體" w:eastAsia="標楷體" w:hAnsi="標楷體"/>
        </w:rPr>
      </w:pPr>
      <w:r w:rsidRPr="00B05DA0">
        <w:rPr>
          <w:rFonts w:ascii="標楷體" w:eastAsia="標楷體" w:hAnsi="標楷體" w:hint="eastAsia"/>
        </w:rPr>
        <w:t xml:space="preserve">　　　　　　提案人：李貴敏　張其祿　林德福　曾銘宗　</w:t>
      </w:r>
    </w:p>
    <w:p w14:paraId="7285EA42" w14:textId="0F669B2A" w:rsidR="00B05DA0" w:rsidRPr="003E3F83" w:rsidRDefault="006F0D9A"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37</w:t>
      </w:r>
      <w:r w:rsidR="00B05DA0" w:rsidRPr="003E3F83">
        <w:rPr>
          <w:rFonts w:ascii="標楷體" w:eastAsia="標楷體" w:hAnsi="標楷體" w:hint="eastAsia"/>
        </w:rPr>
        <w:t>.有鑑於110年9月8日中央社及多家媒體報導，有關中央印製廠於107至108年間辦理燙金箔膜、三股騎縫線、MICR票據紙等標案，時任供應科採購組組長、第二工廠印製科科長與股長</w:t>
      </w:r>
      <w:r w:rsidR="00B05DA0" w:rsidRPr="00475C5C">
        <w:rPr>
          <w:rFonts w:ascii="標楷體" w:eastAsia="標楷體" w:hAnsi="標楷體" w:hint="eastAsia"/>
        </w:rPr>
        <w:t>共</w:t>
      </w:r>
      <w:r w:rsidR="003E3F83" w:rsidRPr="00475C5C">
        <w:rPr>
          <w:rFonts w:ascii="標楷體" w:eastAsia="標楷體" w:hAnsi="標楷體" w:hint="eastAsia"/>
        </w:rPr>
        <w:t>3</w:t>
      </w:r>
      <w:r w:rsidR="00B05DA0" w:rsidRPr="00475C5C">
        <w:rPr>
          <w:rFonts w:ascii="標楷體" w:eastAsia="標楷體" w:hAnsi="標楷體" w:hint="eastAsia"/>
        </w:rPr>
        <w:t>人涉</w:t>
      </w:r>
      <w:r w:rsidR="00B05DA0" w:rsidRPr="003E3F83">
        <w:rPr>
          <w:rFonts w:ascii="標楷體" w:eastAsia="標楷體" w:hAnsi="標楷體" w:hint="eastAsia"/>
        </w:rPr>
        <w:t>嫌洩漏開標時間、標案規格、投標廠商等秘密給特定廠商。根據中央印製廠資料顯示，該廠於107至109年間公開招標暨順利決標件數分別為80件、86件及74件，決標金額共超過1.3億元，顯見中央印製廠公開招標件數及決標金額皆達一定之規模。為避免上開情事再度發生，</w:t>
      </w:r>
      <w:r w:rsidR="003E3F83" w:rsidRPr="00776349">
        <w:rPr>
          <w:rFonts w:ascii="標楷體" w:eastAsia="標楷體" w:hAnsi="標楷體" w:hint="eastAsia"/>
        </w:rPr>
        <w:t>爰請</w:t>
      </w:r>
      <w:r w:rsidR="00B05DA0" w:rsidRPr="003E3F83">
        <w:rPr>
          <w:rFonts w:ascii="標楷體" w:eastAsia="標楷體" w:hAnsi="標楷體" w:hint="eastAsia"/>
        </w:rPr>
        <w:t>中央印製廠針對採購人員之專業教育訓練、加強法紀教育，提升保密義務等於1個月內向立法院財政委員會提出</w:t>
      </w:r>
      <w:r w:rsidR="00B05DA0" w:rsidRPr="003E3F83">
        <w:rPr>
          <w:rFonts w:ascii="標楷體" w:eastAsia="標楷體" w:hAnsi="標楷體"/>
        </w:rPr>
        <w:t>強化採購專業訓練檢討書面</w:t>
      </w:r>
      <w:r w:rsidR="00B05DA0" w:rsidRPr="003E3F83">
        <w:rPr>
          <w:rFonts w:ascii="標楷體" w:eastAsia="標楷體" w:hAnsi="標楷體" w:hint="eastAsia"/>
        </w:rPr>
        <w:t>報告。</w:t>
      </w:r>
    </w:p>
    <w:p w14:paraId="1678D3E6" w14:textId="0CB6E609" w:rsidR="00B05DA0" w:rsidRPr="003E3F83" w:rsidRDefault="00B05DA0" w:rsidP="00B05DA0">
      <w:pPr>
        <w:adjustRightInd/>
        <w:snapToGrid/>
        <w:ind w:leftChars="300" w:left="960" w:firstLineChars="190" w:firstLine="608"/>
        <w:jc w:val="both"/>
        <w:outlineLvl w:val="0"/>
        <w:rPr>
          <w:rFonts w:ascii="標楷體" w:eastAsia="標楷體" w:hAnsi="標楷體"/>
        </w:rPr>
      </w:pPr>
      <w:r w:rsidRPr="003E3F83">
        <w:rPr>
          <w:rFonts w:ascii="標楷體" w:eastAsia="標楷體" w:hAnsi="標楷體" w:hint="eastAsia"/>
        </w:rPr>
        <w:t xml:space="preserve">　　　　　　提案人：郭國文</w:t>
      </w:r>
    </w:p>
    <w:p w14:paraId="3465E404" w14:textId="5FA39ECA" w:rsidR="00B05DA0" w:rsidRPr="00B05DA0" w:rsidRDefault="00B05DA0" w:rsidP="00B05DA0">
      <w:pPr>
        <w:adjustRightInd/>
        <w:snapToGrid/>
        <w:ind w:leftChars="300" w:left="960" w:firstLineChars="190" w:firstLine="608"/>
        <w:jc w:val="both"/>
        <w:outlineLvl w:val="0"/>
        <w:rPr>
          <w:rFonts w:ascii="標楷體" w:eastAsia="標楷體" w:hAnsi="標楷體"/>
          <w:color w:val="FF0000"/>
        </w:rPr>
      </w:pPr>
      <w:r w:rsidRPr="003E3F83">
        <w:rPr>
          <w:rFonts w:ascii="標楷體" w:eastAsia="標楷體" w:hAnsi="標楷體" w:hint="eastAsia"/>
        </w:rPr>
        <w:t xml:space="preserve">　　　　　</w:t>
      </w:r>
      <w:r w:rsidR="00C274BE" w:rsidRPr="003E3F83">
        <w:rPr>
          <w:rFonts w:ascii="標楷體" w:eastAsia="標楷體" w:hAnsi="標楷體" w:hint="eastAsia"/>
        </w:rPr>
        <w:t xml:space="preserve">　</w:t>
      </w:r>
      <w:r w:rsidRPr="003E3F83">
        <w:rPr>
          <w:rFonts w:ascii="標楷體" w:eastAsia="標楷體" w:hAnsi="標楷體" w:hint="eastAsia"/>
        </w:rPr>
        <w:t>連署人：林楚茵　鍾佳濱</w:t>
      </w:r>
    </w:p>
    <w:p w14:paraId="43E92F8A" w14:textId="7E49B521" w:rsidR="00B05DA0" w:rsidRPr="00B05DA0" w:rsidRDefault="006F0D9A"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38</w:t>
      </w:r>
      <w:r w:rsidR="00B05DA0" w:rsidRPr="00B05DA0">
        <w:rPr>
          <w:rFonts w:ascii="標楷體" w:eastAsia="標楷體" w:hAnsi="標楷體" w:hint="eastAsia"/>
        </w:rPr>
        <w:t>.審計部於109年度中央銀行財務收支及決算審核通知對中央印製廠提出「部分材料採購多年仍有鉅額庫存，去化緩慢，亟待加強存貨管理機制」之意見，主要係部分庫存材料因生產量低於預期，或生產技術升級，或產品改版等，每年僅</w:t>
      </w:r>
      <w:r w:rsidR="00B05DA0" w:rsidRPr="00B05DA0">
        <w:rPr>
          <w:rFonts w:ascii="標楷體" w:eastAsia="標楷體" w:hAnsi="標楷體" w:hint="eastAsia"/>
        </w:rPr>
        <w:lastRenderedPageBreak/>
        <w:t>少量領用或幾無使用需求，致採購多年仍有鉅額庫存，去化緩慢。中央印製廠除應加強去化購入多年惟長期未動用之材料外，未來應審慎評估材料採購數量，以避免資源閒置。爰此，中央印製廠應於1個月內向立法院財政委員會提出活化庫存材料書面報告。</w:t>
      </w:r>
    </w:p>
    <w:p w14:paraId="63D1A2EA"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提案人：李貴敏　張其祿　林德福　羅明才</w:t>
      </w:r>
    </w:p>
    <w:p w14:paraId="7C63C66B"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曾銘宗</w:t>
      </w:r>
    </w:p>
    <w:p w14:paraId="1ABFE7CA" w14:textId="0AC1FC1F" w:rsidR="00B05DA0" w:rsidRPr="00B05DA0" w:rsidRDefault="006F0D9A"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39</w:t>
      </w:r>
      <w:r w:rsidR="00B05DA0" w:rsidRPr="00B05DA0">
        <w:rPr>
          <w:rFonts w:ascii="標楷體" w:eastAsia="標楷體" w:hAnsi="標楷體" w:hint="eastAsia"/>
        </w:rPr>
        <w:t>.有鑑於內政部原定110年全面換發新式數位身分證（New eID），在各界質疑聲浪下行政院已拍板暫緩推動，但內政部在111年度預算中編列1億9,040萬元，主要為辦理數位身分證「印製設備維護」相關經費。機台由中央印製廠及相關廠商進行維護，為確保未來制定專法後，數位身分證正式換發，相關機台能夠配合確實啟用，爰要求中央印製廠就印製New eID之機台維護、測試及經費使用項目於2個月內向立法院財政委員會提出書面報告。</w:t>
      </w:r>
    </w:p>
    <w:p w14:paraId="4F2C0008" w14:textId="77777777" w:rsidR="00B05DA0" w:rsidRPr="00B05DA0" w:rsidRDefault="00B05DA0" w:rsidP="00B05DA0">
      <w:pPr>
        <w:adjustRightInd/>
        <w:snapToGrid/>
        <w:ind w:leftChars="300" w:left="960" w:firstLineChars="190" w:firstLine="609"/>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提案人：張其祿　李貴敏　賴士葆</w:t>
      </w:r>
      <w:r w:rsidRPr="00B05DA0">
        <w:rPr>
          <w:rFonts w:ascii="標楷體" w:eastAsia="標楷體" w:hAnsi="標楷體" w:hint="eastAsia"/>
          <w:b/>
        </w:rPr>
        <w:t xml:space="preserve">　</w:t>
      </w:r>
      <w:r w:rsidRPr="00B05DA0">
        <w:rPr>
          <w:rFonts w:ascii="標楷體" w:eastAsia="標楷體" w:hAnsi="標楷體" w:hint="eastAsia"/>
        </w:rPr>
        <w:t>羅明才</w:t>
      </w:r>
    </w:p>
    <w:p w14:paraId="660A0FF7" w14:textId="7AC0C217" w:rsidR="00B05DA0" w:rsidRPr="00B05DA0" w:rsidRDefault="006F0D9A" w:rsidP="00E02C89">
      <w:pPr>
        <w:adjustRightInd/>
        <w:snapToGrid/>
        <w:ind w:leftChars="300" w:left="1440" w:hangingChars="150" w:hanging="480"/>
        <w:jc w:val="both"/>
        <w:outlineLvl w:val="0"/>
        <w:rPr>
          <w:rFonts w:ascii="標楷體" w:eastAsia="標楷體" w:hAnsi="標楷體"/>
        </w:rPr>
      </w:pPr>
      <w:r>
        <w:rPr>
          <w:rFonts w:ascii="標楷體" w:eastAsia="標楷體" w:hAnsi="標楷體"/>
        </w:rPr>
        <w:t>40</w:t>
      </w:r>
      <w:r w:rsidR="00B05DA0" w:rsidRPr="00B05DA0">
        <w:rPr>
          <w:rFonts w:ascii="標楷體" w:eastAsia="標楷體" w:hAnsi="標楷體" w:hint="eastAsia"/>
        </w:rPr>
        <w:t>.中央印製廠原預計於109年10月配合內政部期程交付New eID，並於109年2月與廠商簽訂契約，採購PC晶片卡、印製設備、卡片管理及製程管理系統，惟行政院於110年1月決議暫緩相關換發作業，依109年度中央政府總決算附屬單位決算及綜計表審核報告指出，中央印製廠於New eID</w:t>
      </w:r>
      <w:r w:rsidR="00776349">
        <w:rPr>
          <w:rFonts w:ascii="標楷體" w:eastAsia="標楷體" w:hAnsi="標楷體" w:hint="eastAsia"/>
        </w:rPr>
        <w:t>印</w:t>
      </w:r>
      <w:r w:rsidR="00B05DA0" w:rsidRPr="00B05DA0">
        <w:rPr>
          <w:rFonts w:ascii="標楷體" w:eastAsia="標楷體" w:hAnsi="標楷體" w:hint="eastAsia"/>
        </w:rPr>
        <w:t>製案暫停執行期間，尚需配合內政部需求，持續辦理相關測試、調整及維護等作業；實際生產New eID成品後始得依實作數量向內政部申請給付契約價金，期間先行投入之印製設備、製程管理系統等採購成本及相關維護管理費用金額龐鉅，衍生印製設備及維護管理費用計價爭議，另印製設備涉及New eID金鑰對產製、個人資料寫入及列印等個資應用之關鍵製程，無法應用於其他印件業務，相關設備屬精密複雜機</w:t>
      </w:r>
      <w:r w:rsidR="00B05DA0" w:rsidRPr="00B05DA0">
        <w:rPr>
          <w:rFonts w:ascii="標楷體" w:eastAsia="標楷體" w:hAnsi="標楷體" w:hint="eastAsia"/>
        </w:rPr>
        <w:lastRenderedPageBreak/>
        <w:t>台，經長時間暫停運作或僅以少量空白卡運轉，恐有老舊損壞或重啟時功能性運轉不順之風險，影響復啟時New eID之製程，爰要求中央銀行研謀因應措施，並積極與內政部協調相關賠償及價金給付事宜，並於3個月內向立法院財政委員會提出</w:t>
      </w:r>
      <w:r w:rsidR="00B05DA0" w:rsidRPr="003E3F83">
        <w:rPr>
          <w:rFonts w:ascii="標楷體" w:eastAsia="標楷體" w:hAnsi="標楷體" w:hint="eastAsia"/>
        </w:rPr>
        <w:t>書面</w:t>
      </w:r>
      <w:r w:rsidR="00B05DA0" w:rsidRPr="00B05DA0">
        <w:rPr>
          <w:rFonts w:ascii="標楷體" w:eastAsia="標楷體" w:hAnsi="標楷體" w:hint="eastAsia"/>
        </w:rPr>
        <w:t>報告。</w:t>
      </w:r>
      <w:bookmarkStart w:id="1" w:name="_GoBack"/>
      <w:bookmarkEnd w:id="1"/>
    </w:p>
    <w:p w14:paraId="2B136780" w14:textId="77777777" w:rsidR="00B05DA0" w:rsidRPr="00B05DA0" w:rsidRDefault="00B05DA0" w:rsidP="00B05DA0">
      <w:pPr>
        <w:adjustRightInd/>
        <w:snapToGrid/>
        <w:ind w:leftChars="300" w:left="960" w:firstLineChars="216" w:firstLine="692"/>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提案人：賴士葆　張其祿　林德福　羅明才</w:t>
      </w:r>
    </w:p>
    <w:p w14:paraId="22765B24" w14:textId="77777777" w:rsidR="00B05DA0" w:rsidRPr="00B05DA0" w:rsidRDefault="00B05DA0" w:rsidP="00B05DA0">
      <w:pPr>
        <w:adjustRightInd/>
        <w:snapToGrid/>
        <w:ind w:leftChars="300" w:left="960" w:firstLineChars="211" w:firstLine="676"/>
        <w:jc w:val="both"/>
        <w:outlineLvl w:val="0"/>
        <w:rPr>
          <w:rFonts w:ascii="標楷體" w:eastAsia="標楷體" w:hAnsi="標楷體"/>
        </w:rPr>
      </w:pPr>
      <w:r w:rsidRPr="00B05DA0">
        <w:rPr>
          <w:rFonts w:ascii="標楷體" w:eastAsia="標楷體" w:hAnsi="標楷體" w:hint="eastAsia"/>
          <w:b/>
        </w:rPr>
        <w:t xml:space="preserve">　　　　　　　　　　</w:t>
      </w:r>
      <w:r w:rsidRPr="00B05DA0">
        <w:rPr>
          <w:rFonts w:ascii="標楷體" w:eastAsia="標楷體" w:hAnsi="標楷體" w:hint="eastAsia"/>
        </w:rPr>
        <w:t>曾銘宗</w:t>
      </w:r>
    </w:p>
    <w:p w14:paraId="205BE35A" w14:textId="682DFF1E" w:rsidR="00BA318D" w:rsidRDefault="00BA318D" w:rsidP="001B3A75">
      <w:pPr>
        <w:autoSpaceDE w:val="0"/>
        <w:autoSpaceDN w:val="0"/>
        <w:spacing w:beforeLines="50" w:before="180"/>
        <w:jc w:val="both"/>
        <w:rPr>
          <w:rFonts w:ascii="標楷體" w:eastAsia="標楷體" w:hAnsi="標楷體"/>
          <w:b/>
        </w:rPr>
      </w:pPr>
      <w:r>
        <w:rPr>
          <w:rFonts w:ascii="標楷體" w:eastAsia="標楷體" w:hAnsi="標楷體" w:hint="eastAsia"/>
          <w:b/>
        </w:rPr>
        <w:t>通過臨時提案</w:t>
      </w:r>
      <w:r w:rsidR="00FA1030">
        <w:rPr>
          <w:rFonts w:ascii="標楷體" w:eastAsia="標楷體" w:hAnsi="標楷體"/>
          <w:b/>
        </w:rPr>
        <w:t>1</w:t>
      </w:r>
      <w:r>
        <w:rPr>
          <w:rFonts w:ascii="標楷體" w:eastAsia="標楷體" w:hAnsi="標楷體" w:hint="eastAsia"/>
          <w:b/>
        </w:rPr>
        <w:t>案：</w:t>
      </w:r>
    </w:p>
    <w:p w14:paraId="72C11679" w14:textId="2DA5FF11" w:rsidR="00FA1030" w:rsidRPr="00FE1660" w:rsidRDefault="00FA1030" w:rsidP="00C274BE">
      <w:pPr>
        <w:autoSpaceDE w:val="0"/>
        <w:autoSpaceDN w:val="0"/>
        <w:ind w:leftChars="4" w:left="13" w:firstLineChars="195" w:firstLine="624"/>
        <w:jc w:val="both"/>
        <w:rPr>
          <w:rFonts w:ascii="標楷體" w:eastAsia="標楷體" w:hAnsi="標楷體"/>
        </w:rPr>
      </w:pPr>
      <w:r>
        <w:rPr>
          <w:rFonts w:ascii="標楷體" w:eastAsia="標楷體" w:hAnsi="標楷體" w:hint="eastAsia"/>
        </w:rPr>
        <w:t>鑑於國際上陸續有放寬邊境管制的現象，跨境移動將逐漸恢復常態。惟國人更換護照之需求因疫情之故已凍結逾</w:t>
      </w:r>
      <w:r w:rsidR="00776349">
        <w:rPr>
          <w:rFonts w:ascii="標楷體" w:eastAsia="標楷體" w:hAnsi="標楷體" w:hint="eastAsia"/>
        </w:rPr>
        <w:t>2</w:t>
      </w:r>
      <w:r>
        <w:rPr>
          <w:rFonts w:ascii="標楷體" w:eastAsia="標楷體" w:hAnsi="標楷體" w:hint="eastAsia"/>
        </w:rPr>
        <w:t>年，又近期有晶片短缺、供應不足之現象，爰建請中央印製廠對邊境開放以後，因應國人更新護照之需求，預作相關原料之盤點與準備，以免日後發生供需失衡之情事。</w:t>
      </w:r>
    </w:p>
    <w:p w14:paraId="7683BCD7" w14:textId="26CC4017" w:rsidR="00BA318D" w:rsidRDefault="00BA318D" w:rsidP="00BA318D">
      <w:pPr>
        <w:autoSpaceDE w:val="0"/>
        <w:autoSpaceDN w:val="0"/>
        <w:jc w:val="both"/>
        <w:rPr>
          <w:rFonts w:ascii="標楷體" w:eastAsia="標楷體" w:hAnsi="標楷體"/>
        </w:rPr>
      </w:pPr>
      <w:r w:rsidRPr="00FE1660">
        <w:rPr>
          <w:rFonts w:ascii="標楷體" w:eastAsia="標楷體" w:hAnsi="標楷體" w:hint="eastAsia"/>
        </w:rPr>
        <w:t xml:space="preserve">　　　　　　　</w:t>
      </w:r>
      <w:r>
        <w:rPr>
          <w:rFonts w:ascii="標楷體" w:eastAsia="標楷體" w:hAnsi="標楷體" w:hint="eastAsia"/>
        </w:rPr>
        <w:t xml:space="preserve">　　　</w:t>
      </w:r>
      <w:r w:rsidR="00776349" w:rsidRPr="00B05DA0">
        <w:rPr>
          <w:rFonts w:ascii="標楷體" w:eastAsia="標楷體" w:hAnsi="標楷體" w:hint="eastAsia"/>
          <w:b/>
        </w:rPr>
        <w:t xml:space="preserve">　</w:t>
      </w:r>
      <w:r w:rsidRPr="00FE1660">
        <w:rPr>
          <w:rFonts w:ascii="標楷體" w:eastAsia="標楷體" w:hAnsi="標楷體" w:hint="eastAsia"/>
        </w:rPr>
        <w:t>提案人：</w:t>
      </w:r>
      <w:r w:rsidR="00FA1030">
        <w:rPr>
          <w:rFonts w:ascii="標楷體" w:eastAsia="標楷體" w:hAnsi="標楷體" w:hint="eastAsia"/>
        </w:rPr>
        <w:t>羅明才</w:t>
      </w:r>
      <w:r w:rsidRPr="00FE1660">
        <w:rPr>
          <w:rFonts w:ascii="標楷體" w:eastAsia="標楷體" w:hAnsi="標楷體" w:hint="eastAsia"/>
        </w:rPr>
        <w:t xml:space="preserve">　</w:t>
      </w:r>
      <w:r w:rsidR="00FA1030">
        <w:rPr>
          <w:rFonts w:ascii="標楷體" w:eastAsia="標楷體" w:hAnsi="標楷體" w:hint="eastAsia"/>
        </w:rPr>
        <w:t>林德福</w:t>
      </w:r>
      <w:r w:rsidRPr="00FE1660">
        <w:rPr>
          <w:rFonts w:ascii="標楷體" w:eastAsia="標楷體" w:hAnsi="標楷體" w:hint="eastAsia"/>
        </w:rPr>
        <w:t xml:space="preserve">　</w:t>
      </w:r>
      <w:r w:rsidR="00FA1030">
        <w:rPr>
          <w:rFonts w:ascii="標楷體" w:eastAsia="標楷體" w:hAnsi="標楷體" w:hint="eastAsia"/>
        </w:rPr>
        <w:t>賴士葆</w:t>
      </w:r>
      <w:r w:rsidRPr="00FE1660">
        <w:rPr>
          <w:rFonts w:ascii="標楷體" w:eastAsia="標楷體" w:hAnsi="標楷體" w:hint="eastAsia"/>
        </w:rPr>
        <w:t xml:space="preserve">　</w:t>
      </w:r>
    </w:p>
    <w:p w14:paraId="66917F0A" w14:textId="45F58757" w:rsidR="00FD131E" w:rsidRDefault="00BA318D" w:rsidP="00BA318D">
      <w:pPr>
        <w:autoSpaceDE w:val="0"/>
        <w:autoSpaceDN w:val="0"/>
        <w:spacing w:beforeLines="50" w:before="180"/>
        <w:jc w:val="both"/>
        <w:rPr>
          <w:rFonts w:ascii="標楷體" w:eastAsia="標楷體" w:hAnsi="標楷體"/>
        </w:rPr>
      </w:pPr>
      <w:r>
        <w:rPr>
          <w:rFonts w:ascii="標楷體" w:eastAsia="標楷體" w:hAnsi="標楷體" w:cs="Courier New" w:hint="eastAsia"/>
          <w:b/>
          <w:color w:val="0D0D0D"/>
        </w:rPr>
        <w:t>散會</w:t>
      </w:r>
    </w:p>
    <w:sectPr w:rsidR="00FD131E" w:rsidSect="00DD2581">
      <w:footerReference w:type="default" r:id="rId8"/>
      <w:pgSz w:w="11906" w:h="16838" w:code="9"/>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BBA073" w14:textId="77777777" w:rsidR="00887DED" w:rsidRDefault="00887DED" w:rsidP="00372B56">
      <w:pPr>
        <w:spacing w:line="240" w:lineRule="auto"/>
      </w:pPr>
      <w:r>
        <w:separator/>
      </w:r>
    </w:p>
  </w:endnote>
  <w:endnote w:type="continuationSeparator" w:id="0">
    <w:p w14:paraId="6E85066C" w14:textId="77777777" w:rsidR="00887DED" w:rsidRDefault="00887DED" w:rsidP="00372B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DFKaiShu-SB-Estd-BF">
    <w:altName w:val="Microsoft YaHei"/>
    <w:panose1 w:val="00000000000000000000"/>
    <w:charset w:val="88"/>
    <w:family w:val="auto"/>
    <w:notTrueType/>
    <w:pitch w:val="default"/>
    <w:sig w:usb0="00000001" w:usb1="08080000" w:usb2="00000010" w:usb3="00000000" w:csb0="00100000" w:csb1="00000000"/>
  </w:font>
  <w:font w:name="微軟正黑體">
    <w:panose1 w:val="020B0604030504040204"/>
    <w:charset w:val="88"/>
    <w:family w:val="swiss"/>
    <w:pitch w:val="variable"/>
    <w:sig w:usb0="000002A7" w:usb1="28CF4400" w:usb2="00000016" w:usb3="00000000" w:csb0="00100009"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0844795"/>
      <w:docPartObj>
        <w:docPartGallery w:val="Page Numbers (Bottom of Page)"/>
        <w:docPartUnique/>
      </w:docPartObj>
    </w:sdtPr>
    <w:sdtEndPr/>
    <w:sdtContent>
      <w:p w14:paraId="10006DA5" w14:textId="388553D0" w:rsidR="00B05DA0" w:rsidRDefault="00B05DA0">
        <w:pPr>
          <w:pStyle w:val="a7"/>
          <w:jc w:val="center"/>
        </w:pPr>
        <w:r>
          <w:fldChar w:fldCharType="begin"/>
        </w:r>
        <w:r>
          <w:instrText>PAGE   \* MERGEFORMAT</w:instrText>
        </w:r>
        <w:r>
          <w:fldChar w:fldCharType="separate"/>
        </w:r>
        <w:r w:rsidR="00A154EE" w:rsidRPr="00A154EE">
          <w:rPr>
            <w:noProof/>
            <w:lang w:val="zh-TW"/>
          </w:rPr>
          <w:t>23</w:t>
        </w:r>
        <w:r>
          <w:fldChar w:fldCharType="end"/>
        </w:r>
      </w:p>
    </w:sdtContent>
  </w:sdt>
  <w:p w14:paraId="7B7B1AB8" w14:textId="77777777" w:rsidR="00B05DA0" w:rsidRDefault="00B05DA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AE9252" w14:textId="77777777" w:rsidR="00887DED" w:rsidRDefault="00887DED" w:rsidP="00372B56">
      <w:pPr>
        <w:spacing w:line="240" w:lineRule="auto"/>
      </w:pPr>
      <w:r>
        <w:separator/>
      </w:r>
    </w:p>
  </w:footnote>
  <w:footnote w:type="continuationSeparator" w:id="0">
    <w:p w14:paraId="0FEBCFD2" w14:textId="77777777" w:rsidR="00887DED" w:rsidRDefault="00887DED" w:rsidP="00372B5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F47EC"/>
    <w:multiLevelType w:val="hybridMultilevel"/>
    <w:tmpl w:val="F67691AE"/>
    <w:lvl w:ilvl="0" w:tplc="3AD8FEA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E5073B"/>
    <w:multiLevelType w:val="hybridMultilevel"/>
    <w:tmpl w:val="15584A12"/>
    <w:lvl w:ilvl="0" w:tplc="4E8825C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8780F68"/>
    <w:multiLevelType w:val="hybridMultilevel"/>
    <w:tmpl w:val="86CE014A"/>
    <w:lvl w:ilvl="0" w:tplc="55C4C6F6">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3" w15:restartNumberingAfterBreak="0">
    <w:nsid w:val="2A5A7C97"/>
    <w:multiLevelType w:val="hybridMultilevel"/>
    <w:tmpl w:val="C49C294E"/>
    <w:lvl w:ilvl="0" w:tplc="B776D4D6">
      <w:start w:val="1"/>
      <w:numFmt w:val="taiwaneseCountingThousand"/>
      <w:lvlText w:val="%1、"/>
      <w:lvlJc w:val="left"/>
      <w:pPr>
        <w:ind w:left="744" w:hanging="720"/>
      </w:pPr>
      <w:rPr>
        <w:rFonts w:cs="標楷體" w:hint="default"/>
      </w:rPr>
    </w:lvl>
    <w:lvl w:ilvl="1" w:tplc="04090019" w:tentative="1">
      <w:start w:val="1"/>
      <w:numFmt w:val="ideographTraditional"/>
      <w:lvlText w:val="%2、"/>
      <w:lvlJc w:val="left"/>
      <w:pPr>
        <w:ind w:left="984" w:hanging="480"/>
      </w:pPr>
    </w:lvl>
    <w:lvl w:ilvl="2" w:tplc="0409001B" w:tentative="1">
      <w:start w:val="1"/>
      <w:numFmt w:val="lowerRoman"/>
      <w:lvlText w:val="%3."/>
      <w:lvlJc w:val="right"/>
      <w:pPr>
        <w:ind w:left="1464" w:hanging="480"/>
      </w:pPr>
    </w:lvl>
    <w:lvl w:ilvl="3" w:tplc="0409000F" w:tentative="1">
      <w:start w:val="1"/>
      <w:numFmt w:val="decimal"/>
      <w:lvlText w:val="%4."/>
      <w:lvlJc w:val="left"/>
      <w:pPr>
        <w:ind w:left="1944" w:hanging="480"/>
      </w:pPr>
    </w:lvl>
    <w:lvl w:ilvl="4" w:tplc="04090019" w:tentative="1">
      <w:start w:val="1"/>
      <w:numFmt w:val="ideographTraditional"/>
      <w:lvlText w:val="%5、"/>
      <w:lvlJc w:val="left"/>
      <w:pPr>
        <w:ind w:left="2424" w:hanging="480"/>
      </w:pPr>
    </w:lvl>
    <w:lvl w:ilvl="5" w:tplc="0409001B" w:tentative="1">
      <w:start w:val="1"/>
      <w:numFmt w:val="lowerRoman"/>
      <w:lvlText w:val="%6."/>
      <w:lvlJc w:val="right"/>
      <w:pPr>
        <w:ind w:left="2904" w:hanging="480"/>
      </w:pPr>
    </w:lvl>
    <w:lvl w:ilvl="6" w:tplc="0409000F" w:tentative="1">
      <w:start w:val="1"/>
      <w:numFmt w:val="decimal"/>
      <w:lvlText w:val="%7."/>
      <w:lvlJc w:val="left"/>
      <w:pPr>
        <w:ind w:left="3384" w:hanging="480"/>
      </w:pPr>
    </w:lvl>
    <w:lvl w:ilvl="7" w:tplc="04090019" w:tentative="1">
      <w:start w:val="1"/>
      <w:numFmt w:val="ideographTraditional"/>
      <w:lvlText w:val="%8、"/>
      <w:lvlJc w:val="left"/>
      <w:pPr>
        <w:ind w:left="3864" w:hanging="480"/>
      </w:pPr>
    </w:lvl>
    <w:lvl w:ilvl="8" w:tplc="0409001B" w:tentative="1">
      <w:start w:val="1"/>
      <w:numFmt w:val="lowerRoman"/>
      <w:lvlText w:val="%9."/>
      <w:lvlJc w:val="right"/>
      <w:pPr>
        <w:ind w:left="4344" w:hanging="480"/>
      </w:pPr>
    </w:lvl>
  </w:abstractNum>
  <w:abstractNum w:abstractNumId="4" w15:restartNumberingAfterBreak="0">
    <w:nsid w:val="2A9F4E91"/>
    <w:multiLevelType w:val="hybridMultilevel"/>
    <w:tmpl w:val="7A04551A"/>
    <w:lvl w:ilvl="0" w:tplc="3DC03A40">
      <w:start w:val="1"/>
      <w:numFmt w:val="taiwaneseCountingThousand"/>
      <w:lvlText w:val="%1、"/>
      <w:lvlJc w:val="left"/>
      <w:pPr>
        <w:ind w:left="669" w:hanging="645"/>
      </w:pPr>
      <w:rPr>
        <w:rFonts w:cs="Times New Roman"/>
        <w:color w:val="auto"/>
        <w:sz w:val="32"/>
        <w:szCs w:val="32"/>
      </w:rPr>
    </w:lvl>
    <w:lvl w:ilvl="1" w:tplc="04090019">
      <w:start w:val="1"/>
      <w:numFmt w:val="ideographTraditional"/>
      <w:lvlText w:val="%2、"/>
      <w:lvlJc w:val="left"/>
      <w:pPr>
        <w:ind w:left="984" w:hanging="480"/>
      </w:pPr>
    </w:lvl>
    <w:lvl w:ilvl="2" w:tplc="0409001B">
      <w:start w:val="1"/>
      <w:numFmt w:val="lowerRoman"/>
      <w:lvlText w:val="%3."/>
      <w:lvlJc w:val="right"/>
      <w:pPr>
        <w:ind w:left="1464" w:hanging="480"/>
      </w:pPr>
    </w:lvl>
    <w:lvl w:ilvl="3" w:tplc="0409000F">
      <w:start w:val="1"/>
      <w:numFmt w:val="decimal"/>
      <w:lvlText w:val="%4."/>
      <w:lvlJc w:val="left"/>
      <w:pPr>
        <w:ind w:left="1944" w:hanging="480"/>
      </w:pPr>
    </w:lvl>
    <w:lvl w:ilvl="4" w:tplc="04090019">
      <w:start w:val="1"/>
      <w:numFmt w:val="ideographTraditional"/>
      <w:lvlText w:val="%5、"/>
      <w:lvlJc w:val="left"/>
      <w:pPr>
        <w:ind w:left="2424" w:hanging="480"/>
      </w:pPr>
    </w:lvl>
    <w:lvl w:ilvl="5" w:tplc="0409001B">
      <w:start w:val="1"/>
      <w:numFmt w:val="lowerRoman"/>
      <w:lvlText w:val="%6."/>
      <w:lvlJc w:val="right"/>
      <w:pPr>
        <w:ind w:left="2904" w:hanging="480"/>
      </w:pPr>
    </w:lvl>
    <w:lvl w:ilvl="6" w:tplc="0409000F">
      <w:start w:val="1"/>
      <w:numFmt w:val="decimal"/>
      <w:lvlText w:val="%7."/>
      <w:lvlJc w:val="left"/>
      <w:pPr>
        <w:ind w:left="3384" w:hanging="480"/>
      </w:pPr>
    </w:lvl>
    <w:lvl w:ilvl="7" w:tplc="04090019">
      <w:start w:val="1"/>
      <w:numFmt w:val="ideographTraditional"/>
      <w:lvlText w:val="%8、"/>
      <w:lvlJc w:val="left"/>
      <w:pPr>
        <w:ind w:left="3864" w:hanging="480"/>
      </w:pPr>
    </w:lvl>
    <w:lvl w:ilvl="8" w:tplc="0409001B">
      <w:start w:val="1"/>
      <w:numFmt w:val="lowerRoman"/>
      <w:lvlText w:val="%9."/>
      <w:lvlJc w:val="right"/>
      <w:pPr>
        <w:ind w:left="4344" w:hanging="480"/>
      </w:pPr>
    </w:lvl>
  </w:abstractNum>
  <w:abstractNum w:abstractNumId="5" w15:restartNumberingAfterBreak="0">
    <w:nsid w:val="4839707C"/>
    <w:multiLevelType w:val="hybridMultilevel"/>
    <w:tmpl w:val="FEF6D3F0"/>
    <w:lvl w:ilvl="0" w:tplc="56D6A33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E6F3344"/>
    <w:multiLevelType w:val="hybridMultilevel"/>
    <w:tmpl w:val="14BA9240"/>
    <w:lvl w:ilvl="0" w:tplc="5246D000">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7" w15:restartNumberingAfterBreak="0">
    <w:nsid w:val="58B677CF"/>
    <w:multiLevelType w:val="hybridMultilevel"/>
    <w:tmpl w:val="BFA6B6EC"/>
    <w:lvl w:ilvl="0" w:tplc="1CA2B6A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15:restartNumberingAfterBreak="0">
    <w:nsid w:val="593A5F00"/>
    <w:multiLevelType w:val="hybridMultilevel"/>
    <w:tmpl w:val="1E3403A0"/>
    <w:lvl w:ilvl="0" w:tplc="8AC29BF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15:restartNumberingAfterBreak="0">
    <w:nsid w:val="65013446"/>
    <w:multiLevelType w:val="hybridMultilevel"/>
    <w:tmpl w:val="06E28AE6"/>
    <w:lvl w:ilvl="0" w:tplc="1514FA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1E64E6D"/>
    <w:multiLevelType w:val="hybridMultilevel"/>
    <w:tmpl w:val="344805A0"/>
    <w:lvl w:ilvl="0" w:tplc="BF2A347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73BD70F1"/>
    <w:multiLevelType w:val="hybridMultilevel"/>
    <w:tmpl w:val="E9305458"/>
    <w:lvl w:ilvl="0" w:tplc="8A30DCF2">
      <w:start w:val="1"/>
      <w:numFmt w:val="decimal"/>
      <w:lvlText w:val="第%1項"/>
      <w:lvlJc w:val="left"/>
      <w:pPr>
        <w:ind w:left="3124" w:hanging="1385"/>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4" w15:restartNumberingAfterBreak="0">
    <w:nsid w:val="75EF14FB"/>
    <w:multiLevelType w:val="hybridMultilevel"/>
    <w:tmpl w:val="5CFEE840"/>
    <w:lvl w:ilvl="0" w:tplc="DA1E3BBE">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5" w15:restartNumberingAfterBreak="0">
    <w:nsid w:val="78CF025A"/>
    <w:multiLevelType w:val="hybridMultilevel"/>
    <w:tmpl w:val="103C269A"/>
    <w:lvl w:ilvl="0" w:tplc="A768C228">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13"/>
  </w:num>
  <w:num w:numId="6">
    <w:abstractNumId w:val="2"/>
  </w:num>
  <w:num w:numId="7">
    <w:abstractNumId w:val="6"/>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7"/>
  </w:num>
  <w:num w:numId="11">
    <w:abstractNumId w:val="9"/>
  </w:num>
  <w:num w:numId="12">
    <w:abstractNumId w:val="0"/>
  </w:num>
  <w:num w:numId="13">
    <w:abstractNumId w:val="11"/>
  </w:num>
  <w:num w:numId="14">
    <w:abstractNumId w:val="12"/>
  </w:num>
  <w:num w:numId="15">
    <w:abstractNumId w:val="1"/>
  </w:num>
  <w:num w:numId="16">
    <w:abstractNumId w:val="1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921"/>
    <w:rsid w:val="0000314A"/>
    <w:rsid w:val="000055F5"/>
    <w:rsid w:val="00010EDA"/>
    <w:rsid w:val="00015113"/>
    <w:rsid w:val="00020915"/>
    <w:rsid w:val="000230AC"/>
    <w:rsid w:val="0002593B"/>
    <w:rsid w:val="00026AF4"/>
    <w:rsid w:val="0003473A"/>
    <w:rsid w:val="00043815"/>
    <w:rsid w:val="00044E43"/>
    <w:rsid w:val="000514D4"/>
    <w:rsid w:val="000563FB"/>
    <w:rsid w:val="00060AA0"/>
    <w:rsid w:val="00063C76"/>
    <w:rsid w:val="0007134D"/>
    <w:rsid w:val="000730E8"/>
    <w:rsid w:val="00081D85"/>
    <w:rsid w:val="000834B8"/>
    <w:rsid w:val="00085222"/>
    <w:rsid w:val="00086566"/>
    <w:rsid w:val="000874EF"/>
    <w:rsid w:val="00092086"/>
    <w:rsid w:val="000972A3"/>
    <w:rsid w:val="000A28D6"/>
    <w:rsid w:val="000B1B45"/>
    <w:rsid w:val="000C081E"/>
    <w:rsid w:val="000C1C99"/>
    <w:rsid w:val="000C64D2"/>
    <w:rsid w:val="000C7619"/>
    <w:rsid w:val="000D1A13"/>
    <w:rsid w:val="000D3853"/>
    <w:rsid w:val="000E53DD"/>
    <w:rsid w:val="000F169F"/>
    <w:rsid w:val="000F37D5"/>
    <w:rsid w:val="00103312"/>
    <w:rsid w:val="0010360A"/>
    <w:rsid w:val="00104940"/>
    <w:rsid w:val="00104C84"/>
    <w:rsid w:val="00111BAE"/>
    <w:rsid w:val="00113D60"/>
    <w:rsid w:val="00117CC2"/>
    <w:rsid w:val="00117D7D"/>
    <w:rsid w:val="0012028B"/>
    <w:rsid w:val="00122520"/>
    <w:rsid w:val="0013025E"/>
    <w:rsid w:val="001358C7"/>
    <w:rsid w:val="00136683"/>
    <w:rsid w:val="00137A81"/>
    <w:rsid w:val="00137CA3"/>
    <w:rsid w:val="0015717A"/>
    <w:rsid w:val="00161CFE"/>
    <w:rsid w:val="0016390B"/>
    <w:rsid w:val="00163F06"/>
    <w:rsid w:val="00165950"/>
    <w:rsid w:val="00167668"/>
    <w:rsid w:val="0016790C"/>
    <w:rsid w:val="00170289"/>
    <w:rsid w:val="00170F50"/>
    <w:rsid w:val="0017765D"/>
    <w:rsid w:val="00182DFF"/>
    <w:rsid w:val="00187217"/>
    <w:rsid w:val="00187E51"/>
    <w:rsid w:val="001919AA"/>
    <w:rsid w:val="001A16BE"/>
    <w:rsid w:val="001A1B38"/>
    <w:rsid w:val="001A65CB"/>
    <w:rsid w:val="001B2C50"/>
    <w:rsid w:val="001B3A75"/>
    <w:rsid w:val="001B6DF3"/>
    <w:rsid w:val="001B6E3D"/>
    <w:rsid w:val="001B7979"/>
    <w:rsid w:val="001C2B30"/>
    <w:rsid w:val="001C5326"/>
    <w:rsid w:val="001D73B4"/>
    <w:rsid w:val="001D73F6"/>
    <w:rsid w:val="001E0C14"/>
    <w:rsid w:val="001E33D5"/>
    <w:rsid w:val="001F16BA"/>
    <w:rsid w:val="001F1892"/>
    <w:rsid w:val="001F518F"/>
    <w:rsid w:val="00200121"/>
    <w:rsid w:val="00206BC7"/>
    <w:rsid w:val="00207D2E"/>
    <w:rsid w:val="00211B65"/>
    <w:rsid w:val="0023744B"/>
    <w:rsid w:val="00241FA9"/>
    <w:rsid w:val="002459DC"/>
    <w:rsid w:val="002502D2"/>
    <w:rsid w:val="00260C83"/>
    <w:rsid w:val="00262AE8"/>
    <w:rsid w:val="0026684B"/>
    <w:rsid w:val="00275DE8"/>
    <w:rsid w:val="00280999"/>
    <w:rsid w:val="00282321"/>
    <w:rsid w:val="00283EBF"/>
    <w:rsid w:val="00290CC9"/>
    <w:rsid w:val="002934C4"/>
    <w:rsid w:val="002A11E3"/>
    <w:rsid w:val="002A1436"/>
    <w:rsid w:val="002A6946"/>
    <w:rsid w:val="002C1DA4"/>
    <w:rsid w:val="002C29F9"/>
    <w:rsid w:val="002C3859"/>
    <w:rsid w:val="002C69DB"/>
    <w:rsid w:val="002C6BDB"/>
    <w:rsid w:val="002D06F2"/>
    <w:rsid w:val="002D12F6"/>
    <w:rsid w:val="002D5BCE"/>
    <w:rsid w:val="002E1533"/>
    <w:rsid w:val="002F1FEB"/>
    <w:rsid w:val="002F2D7C"/>
    <w:rsid w:val="002F3135"/>
    <w:rsid w:val="00304D5C"/>
    <w:rsid w:val="00315D55"/>
    <w:rsid w:val="00316D04"/>
    <w:rsid w:val="003177B3"/>
    <w:rsid w:val="0032482B"/>
    <w:rsid w:val="00327A20"/>
    <w:rsid w:val="00333125"/>
    <w:rsid w:val="003417CA"/>
    <w:rsid w:val="00345FE2"/>
    <w:rsid w:val="003502E5"/>
    <w:rsid w:val="003534FB"/>
    <w:rsid w:val="00354B68"/>
    <w:rsid w:val="00356D46"/>
    <w:rsid w:val="003628EA"/>
    <w:rsid w:val="003712DD"/>
    <w:rsid w:val="00372B56"/>
    <w:rsid w:val="00376A7C"/>
    <w:rsid w:val="003832B3"/>
    <w:rsid w:val="003856AE"/>
    <w:rsid w:val="0039328B"/>
    <w:rsid w:val="003B2F9E"/>
    <w:rsid w:val="003C2270"/>
    <w:rsid w:val="003C323B"/>
    <w:rsid w:val="003D1DCA"/>
    <w:rsid w:val="003E0B03"/>
    <w:rsid w:val="003E2C7B"/>
    <w:rsid w:val="003E3F83"/>
    <w:rsid w:val="003E6EE8"/>
    <w:rsid w:val="003F02D3"/>
    <w:rsid w:val="003F4C27"/>
    <w:rsid w:val="003F4D66"/>
    <w:rsid w:val="004009FC"/>
    <w:rsid w:val="004021F0"/>
    <w:rsid w:val="00402AAD"/>
    <w:rsid w:val="00405B86"/>
    <w:rsid w:val="00407053"/>
    <w:rsid w:val="004130DD"/>
    <w:rsid w:val="00434EB6"/>
    <w:rsid w:val="004355EE"/>
    <w:rsid w:val="00437813"/>
    <w:rsid w:val="0044388F"/>
    <w:rsid w:val="004559A1"/>
    <w:rsid w:val="00455CEB"/>
    <w:rsid w:val="004628B4"/>
    <w:rsid w:val="00466D64"/>
    <w:rsid w:val="00473243"/>
    <w:rsid w:val="00475C5C"/>
    <w:rsid w:val="00475FA2"/>
    <w:rsid w:val="004827CE"/>
    <w:rsid w:val="004915A5"/>
    <w:rsid w:val="00495A57"/>
    <w:rsid w:val="00496B91"/>
    <w:rsid w:val="004A0B59"/>
    <w:rsid w:val="004A22D1"/>
    <w:rsid w:val="004A726D"/>
    <w:rsid w:val="004C52BA"/>
    <w:rsid w:val="004C545E"/>
    <w:rsid w:val="004C7D6C"/>
    <w:rsid w:val="004D252E"/>
    <w:rsid w:val="004D4B63"/>
    <w:rsid w:val="004D5C5E"/>
    <w:rsid w:val="004E0A9F"/>
    <w:rsid w:val="00506028"/>
    <w:rsid w:val="00506C75"/>
    <w:rsid w:val="005072D3"/>
    <w:rsid w:val="00510104"/>
    <w:rsid w:val="00523B27"/>
    <w:rsid w:val="00525323"/>
    <w:rsid w:val="00541059"/>
    <w:rsid w:val="00545052"/>
    <w:rsid w:val="005558AF"/>
    <w:rsid w:val="00557A40"/>
    <w:rsid w:val="00560C51"/>
    <w:rsid w:val="005623BD"/>
    <w:rsid w:val="00570CC8"/>
    <w:rsid w:val="00571E12"/>
    <w:rsid w:val="0057238B"/>
    <w:rsid w:val="00577886"/>
    <w:rsid w:val="0058078A"/>
    <w:rsid w:val="00587474"/>
    <w:rsid w:val="00594248"/>
    <w:rsid w:val="005A4BAD"/>
    <w:rsid w:val="005B1CB2"/>
    <w:rsid w:val="005B7735"/>
    <w:rsid w:val="005C6190"/>
    <w:rsid w:val="005D2B40"/>
    <w:rsid w:val="005D35D2"/>
    <w:rsid w:val="005D41D8"/>
    <w:rsid w:val="005D421B"/>
    <w:rsid w:val="005D42D3"/>
    <w:rsid w:val="005D712B"/>
    <w:rsid w:val="005F1183"/>
    <w:rsid w:val="005F1CCD"/>
    <w:rsid w:val="006022CA"/>
    <w:rsid w:val="006040EE"/>
    <w:rsid w:val="00605949"/>
    <w:rsid w:val="006064BE"/>
    <w:rsid w:val="00613143"/>
    <w:rsid w:val="0061397C"/>
    <w:rsid w:val="0061492E"/>
    <w:rsid w:val="006162BA"/>
    <w:rsid w:val="006202FE"/>
    <w:rsid w:val="006208D4"/>
    <w:rsid w:val="006221B4"/>
    <w:rsid w:val="006332F6"/>
    <w:rsid w:val="00635013"/>
    <w:rsid w:val="00635F1D"/>
    <w:rsid w:val="00637615"/>
    <w:rsid w:val="00643335"/>
    <w:rsid w:val="00650F62"/>
    <w:rsid w:val="00654D4B"/>
    <w:rsid w:val="00657ABD"/>
    <w:rsid w:val="00661C01"/>
    <w:rsid w:val="00665AF3"/>
    <w:rsid w:val="00671AFD"/>
    <w:rsid w:val="00672664"/>
    <w:rsid w:val="00677F89"/>
    <w:rsid w:val="006835B4"/>
    <w:rsid w:val="00686A55"/>
    <w:rsid w:val="00686D82"/>
    <w:rsid w:val="00696626"/>
    <w:rsid w:val="006A73B8"/>
    <w:rsid w:val="006A7A79"/>
    <w:rsid w:val="006C3C92"/>
    <w:rsid w:val="006C73E3"/>
    <w:rsid w:val="006D0C2E"/>
    <w:rsid w:val="006D1862"/>
    <w:rsid w:val="006D4626"/>
    <w:rsid w:val="006D6797"/>
    <w:rsid w:val="006E0890"/>
    <w:rsid w:val="006F0D9A"/>
    <w:rsid w:val="006F173F"/>
    <w:rsid w:val="00704122"/>
    <w:rsid w:val="00724F06"/>
    <w:rsid w:val="007306D2"/>
    <w:rsid w:val="007337A1"/>
    <w:rsid w:val="0073724A"/>
    <w:rsid w:val="00743FBA"/>
    <w:rsid w:val="00746C79"/>
    <w:rsid w:val="00752460"/>
    <w:rsid w:val="00754012"/>
    <w:rsid w:val="00756175"/>
    <w:rsid w:val="00764BD5"/>
    <w:rsid w:val="00770665"/>
    <w:rsid w:val="00775B02"/>
    <w:rsid w:val="00776349"/>
    <w:rsid w:val="007935CB"/>
    <w:rsid w:val="007A0371"/>
    <w:rsid w:val="007A0E31"/>
    <w:rsid w:val="007A39A7"/>
    <w:rsid w:val="007C1104"/>
    <w:rsid w:val="007C277C"/>
    <w:rsid w:val="007C323A"/>
    <w:rsid w:val="007D273A"/>
    <w:rsid w:val="007E1254"/>
    <w:rsid w:val="007E1B5B"/>
    <w:rsid w:val="007E30D7"/>
    <w:rsid w:val="007E3211"/>
    <w:rsid w:val="007E550A"/>
    <w:rsid w:val="007F03CC"/>
    <w:rsid w:val="007F0B55"/>
    <w:rsid w:val="00800393"/>
    <w:rsid w:val="008062A6"/>
    <w:rsid w:val="008074BC"/>
    <w:rsid w:val="00812101"/>
    <w:rsid w:val="008174F8"/>
    <w:rsid w:val="00822F5F"/>
    <w:rsid w:val="00823C86"/>
    <w:rsid w:val="008277DF"/>
    <w:rsid w:val="00836FE2"/>
    <w:rsid w:val="00843C2B"/>
    <w:rsid w:val="008467A9"/>
    <w:rsid w:val="00846F7A"/>
    <w:rsid w:val="00847A0C"/>
    <w:rsid w:val="008541CF"/>
    <w:rsid w:val="00860AC3"/>
    <w:rsid w:val="008642CA"/>
    <w:rsid w:val="00864C9C"/>
    <w:rsid w:val="00877607"/>
    <w:rsid w:val="00887DED"/>
    <w:rsid w:val="00893613"/>
    <w:rsid w:val="008941D6"/>
    <w:rsid w:val="008A1771"/>
    <w:rsid w:val="008A6D63"/>
    <w:rsid w:val="008B000C"/>
    <w:rsid w:val="008B4D2A"/>
    <w:rsid w:val="008B610A"/>
    <w:rsid w:val="008C38CD"/>
    <w:rsid w:val="008E3D08"/>
    <w:rsid w:val="008E4A3D"/>
    <w:rsid w:val="008E5D64"/>
    <w:rsid w:val="008F48B8"/>
    <w:rsid w:val="00904290"/>
    <w:rsid w:val="009153A9"/>
    <w:rsid w:val="0092600E"/>
    <w:rsid w:val="00926552"/>
    <w:rsid w:val="00930D61"/>
    <w:rsid w:val="00942A77"/>
    <w:rsid w:val="00945E85"/>
    <w:rsid w:val="009552DB"/>
    <w:rsid w:val="00960ADA"/>
    <w:rsid w:val="00962278"/>
    <w:rsid w:val="00964D1F"/>
    <w:rsid w:val="009810D2"/>
    <w:rsid w:val="00986B36"/>
    <w:rsid w:val="009A0DD6"/>
    <w:rsid w:val="009B3BAA"/>
    <w:rsid w:val="009B6FB0"/>
    <w:rsid w:val="009D6D1A"/>
    <w:rsid w:val="009D7E96"/>
    <w:rsid w:val="00A00141"/>
    <w:rsid w:val="00A01153"/>
    <w:rsid w:val="00A061FE"/>
    <w:rsid w:val="00A154EE"/>
    <w:rsid w:val="00A209B2"/>
    <w:rsid w:val="00A32990"/>
    <w:rsid w:val="00A32BDE"/>
    <w:rsid w:val="00A34A49"/>
    <w:rsid w:val="00A3624F"/>
    <w:rsid w:val="00A36C3A"/>
    <w:rsid w:val="00A40847"/>
    <w:rsid w:val="00A43F72"/>
    <w:rsid w:val="00A50A1B"/>
    <w:rsid w:val="00A51008"/>
    <w:rsid w:val="00A53F20"/>
    <w:rsid w:val="00A60F06"/>
    <w:rsid w:val="00A61346"/>
    <w:rsid w:val="00A73710"/>
    <w:rsid w:val="00A83039"/>
    <w:rsid w:val="00A84D5A"/>
    <w:rsid w:val="00A90D6A"/>
    <w:rsid w:val="00A916A3"/>
    <w:rsid w:val="00A951D8"/>
    <w:rsid w:val="00AA42F9"/>
    <w:rsid w:val="00AA447A"/>
    <w:rsid w:val="00AA5A48"/>
    <w:rsid w:val="00AB0957"/>
    <w:rsid w:val="00AB4222"/>
    <w:rsid w:val="00AB635E"/>
    <w:rsid w:val="00AD3535"/>
    <w:rsid w:val="00AD73A2"/>
    <w:rsid w:val="00AE1671"/>
    <w:rsid w:val="00AE20A8"/>
    <w:rsid w:val="00AE4F74"/>
    <w:rsid w:val="00AF0E48"/>
    <w:rsid w:val="00B05DA0"/>
    <w:rsid w:val="00B16A22"/>
    <w:rsid w:val="00B22C5E"/>
    <w:rsid w:val="00B31288"/>
    <w:rsid w:val="00B41523"/>
    <w:rsid w:val="00B42A5B"/>
    <w:rsid w:val="00B4558F"/>
    <w:rsid w:val="00B5313E"/>
    <w:rsid w:val="00B561D8"/>
    <w:rsid w:val="00B609C5"/>
    <w:rsid w:val="00B6279E"/>
    <w:rsid w:val="00B67FC5"/>
    <w:rsid w:val="00B73B7E"/>
    <w:rsid w:val="00B747EA"/>
    <w:rsid w:val="00B761B6"/>
    <w:rsid w:val="00B77083"/>
    <w:rsid w:val="00B90F33"/>
    <w:rsid w:val="00B92297"/>
    <w:rsid w:val="00B92D88"/>
    <w:rsid w:val="00B97E9A"/>
    <w:rsid w:val="00BA01B6"/>
    <w:rsid w:val="00BA318D"/>
    <w:rsid w:val="00BA359D"/>
    <w:rsid w:val="00BA3F6A"/>
    <w:rsid w:val="00BB11EA"/>
    <w:rsid w:val="00BB6C3E"/>
    <w:rsid w:val="00BB74C6"/>
    <w:rsid w:val="00BC1DE4"/>
    <w:rsid w:val="00BC1ECC"/>
    <w:rsid w:val="00BC5921"/>
    <w:rsid w:val="00BC5A94"/>
    <w:rsid w:val="00BE02BC"/>
    <w:rsid w:val="00BF1518"/>
    <w:rsid w:val="00BF26F8"/>
    <w:rsid w:val="00BF39FD"/>
    <w:rsid w:val="00C0183A"/>
    <w:rsid w:val="00C0454A"/>
    <w:rsid w:val="00C048CB"/>
    <w:rsid w:val="00C057BD"/>
    <w:rsid w:val="00C10F7F"/>
    <w:rsid w:val="00C11C27"/>
    <w:rsid w:val="00C13A60"/>
    <w:rsid w:val="00C16D8B"/>
    <w:rsid w:val="00C17268"/>
    <w:rsid w:val="00C24EBA"/>
    <w:rsid w:val="00C25F9C"/>
    <w:rsid w:val="00C273D4"/>
    <w:rsid w:val="00C274BE"/>
    <w:rsid w:val="00C27508"/>
    <w:rsid w:val="00C31F85"/>
    <w:rsid w:val="00C36B2A"/>
    <w:rsid w:val="00C41413"/>
    <w:rsid w:val="00C4211C"/>
    <w:rsid w:val="00C607BF"/>
    <w:rsid w:val="00C654C0"/>
    <w:rsid w:val="00C66236"/>
    <w:rsid w:val="00C73E57"/>
    <w:rsid w:val="00C77A48"/>
    <w:rsid w:val="00C77B8C"/>
    <w:rsid w:val="00C8046A"/>
    <w:rsid w:val="00C946E0"/>
    <w:rsid w:val="00C96F6F"/>
    <w:rsid w:val="00CA2F26"/>
    <w:rsid w:val="00CA44B2"/>
    <w:rsid w:val="00CD20F5"/>
    <w:rsid w:val="00CE6138"/>
    <w:rsid w:val="00CF23A8"/>
    <w:rsid w:val="00CF764D"/>
    <w:rsid w:val="00D000AC"/>
    <w:rsid w:val="00D00974"/>
    <w:rsid w:val="00D03ADA"/>
    <w:rsid w:val="00D06E28"/>
    <w:rsid w:val="00D137DD"/>
    <w:rsid w:val="00D26A1A"/>
    <w:rsid w:val="00D27CD6"/>
    <w:rsid w:val="00D3245C"/>
    <w:rsid w:val="00D344C2"/>
    <w:rsid w:val="00D34EB7"/>
    <w:rsid w:val="00D41DAF"/>
    <w:rsid w:val="00D45CA9"/>
    <w:rsid w:val="00D5660C"/>
    <w:rsid w:val="00D63C4D"/>
    <w:rsid w:val="00D64F3C"/>
    <w:rsid w:val="00D65FC9"/>
    <w:rsid w:val="00D66307"/>
    <w:rsid w:val="00D66694"/>
    <w:rsid w:val="00D70B00"/>
    <w:rsid w:val="00D71AE2"/>
    <w:rsid w:val="00D7301D"/>
    <w:rsid w:val="00D8059C"/>
    <w:rsid w:val="00D924EA"/>
    <w:rsid w:val="00D97F15"/>
    <w:rsid w:val="00DB41F3"/>
    <w:rsid w:val="00DB5CB7"/>
    <w:rsid w:val="00DC1C85"/>
    <w:rsid w:val="00DD2581"/>
    <w:rsid w:val="00DD64DA"/>
    <w:rsid w:val="00DE4897"/>
    <w:rsid w:val="00DE7D9D"/>
    <w:rsid w:val="00DF3628"/>
    <w:rsid w:val="00DF4635"/>
    <w:rsid w:val="00DF51D3"/>
    <w:rsid w:val="00DF6CFD"/>
    <w:rsid w:val="00DF6F6A"/>
    <w:rsid w:val="00E01E9C"/>
    <w:rsid w:val="00E02C89"/>
    <w:rsid w:val="00E04842"/>
    <w:rsid w:val="00E16194"/>
    <w:rsid w:val="00E2503B"/>
    <w:rsid w:val="00E3660D"/>
    <w:rsid w:val="00E37431"/>
    <w:rsid w:val="00E37955"/>
    <w:rsid w:val="00E45051"/>
    <w:rsid w:val="00E65051"/>
    <w:rsid w:val="00E73C7C"/>
    <w:rsid w:val="00E80904"/>
    <w:rsid w:val="00EA4BC3"/>
    <w:rsid w:val="00EA72D6"/>
    <w:rsid w:val="00EC1745"/>
    <w:rsid w:val="00EF00BF"/>
    <w:rsid w:val="00EF1CFC"/>
    <w:rsid w:val="00EF48C7"/>
    <w:rsid w:val="00F02D21"/>
    <w:rsid w:val="00F03054"/>
    <w:rsid w:val="00F03E0B"/>
    <w:rsid w:val="00F05427"/>
    <w:rsid w:val="00F23619"/>
    <w:rsid w:val="00F274BA"/>
    <w:rsid w:val="00F27806"/>
    <w:rsid w:val="00F279B3"/>
    <w:rsid w:val="00F27D4C"/>
    <w:rsid w:val="00F33283"/>
    <w:rsid w:val="00F33F5C"/>
    <w:rsid w:val="00F3605A"/>
    <w:rsid w:val="00F36938"/>
    <w:rsid w:val="00F41578"/>
    <w:rsid w:val="00F41FEE"/>
    <w:rsid w:val="00F43E15"/>
    <w:rsid w:val="00F44448"/>
    <w:rsid w:val="00F44907"/>
    <w:rsid w:val="00F53DC8"/>
    <w:rsid w:val="00F54A63"/>
    <w:rsid w:val="00F62D56"/>
    <w:rsid w:val="00F65B15"/>
    <w:rsid w:val="00F66F0E"/>
    <w:rsid w:val="00F76261"/>
    <w:rsid w:val="00F80D8A"/>
    <w:rsid w:val="00F81C8C"/>
    <w:rsid w:val="00F83E64"/>
    <w:rsid w:val="00F85945"/>
    <w:rsid w:val="00F95AE4"/>
    <w:rsid w:val="00F9612A"/>
    <w:rsid w:val="00FA1030"/>
    <w:rsid w:val="00FA7FA1"/>
    <w:rsid w:val="00FB0496"/>
    <w:rsid w:val="00FC1484"/>
    <w:rsid w:val="00FC1828"/>
    <w:rsid w:val="00FC228F"/>
    <w:rsid w:val="00FC376C"/>
    <w:rsid w:val="00FC3F0A"/>
    <w:rsid w:val="00FD131E"/>
    <w:rsid w:val="00FD226E"/>
    <w:rsid w:val="00FD4711"/>
    <w:rsid w:val="00FD725C"/>
    <w:rsid w:val="00FD7E4D"/>
    <w:rsid w:val="00FE18BC"/>
    <w:rsid w:val="00FE57E9"/>
    <w:rsid w:val="00FF152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C3FFF0"/>
  <w15:chartTrackingRefBased/>
  <w15:docId w15:val="{A4CDBF94-50B8-499C-B21F-DA4439E2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131E"/>
    <w:pPr>
      <w:widowControl w:val="0"/>
      <w:kinsoku w:val="0"/>
      <w:overflowPunct w:val="0"/>
      <w:adjustRightInd w:val="0"/>
      <w:snapToGrid w:val="0"/>
      <w:spacing w:line="480" w:lineRule="exact"/>
    </w:pPr>
    <w:rPr>
      <w:rFonts w:ascii="華康楷書體W5" w:eastAsia="華康楷書體W5"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5921"/>
    <w:pPr>
      <w:ind w:leftChars="200" w:left="480"/>
    </w:pPr>
  </w:style>
  <w:style w:type="paragraph" w:customStyle="1" w:styleId="Default">
    <w:name w:val="Default"/>
    <w:rsid w:val="00960ADA"/>
    <w:pPr>
      <w:widowControl w:val="0"/>
      <w:autoSpaceDE w:val="0"/>
      <w:autoSpaceDN w:val="0"/>
      <w:adjustRightInd w:val="0"/>
    </w:pPr>
    <w:rPr>
      <w:rFonts w:ascii="標楷體" w:eastAsia="標楷體" w:hAnsi="Calibri" w:cs="標楷體"/>
      <w:color w:val="000000"/>
      <w:kern w:val="0"/>
      <w:szCs w:val="24"/>
    </w:rPr>
  </w:style>
  <w:style w:type="paragraph" w:customStyle="1" w:styleId="a4">
    <w:name w:val="立法院(會議名稱)"/>
    <w:basedOn w:val="a"/>
    <w:rsid w:val="00960ADA"/>
    <w:pPr>
      <w:kinsoku/>
      <w:overflowPunct/>
      <w:adjustRightInd/>
      <w:spacing w:line="500" w:lineRule="exact"/>
      <w:ind w:left="1620" w:hanging="1620"/>
    </w:pPr>
    <w:rPr>
      <w:rFonts w:ascii="標楷體" w:eastAsia="標楷體"/>
    </w:rPr>
  </w:style>
  <w:style w:type="paragraph" w:styleId="a5">
    <w:name w:val="header"/>
    <w:basedOn w:val="a"/>
    <w:link w:val="a6"/>
    <w:uiPriority w:val="99"/>
    <w:unhideWhenUsed/>
    <w:rsid w:val="00372B56"/>
    <w:pPr>
      <w:tabs>
        <w:tab w:val="center" w:pos="4153"/>
        <w:tab w:val="right" w:pos="8306"/>
      </w:tabs>
    </w:pPr>
    <w:rPr>
      <w:sz w:val="20"/>
      <w:szCs w:val="20"/>
    </w:rPr>
  </w:style>
  <w:style w:type="character" w:customStyle="1" w:styleId="a6">
    <w:name w:val="頁首 字元"/>
    <w:basedOn w:val="a0"/>
    <w:link w:val="a5"/>
    <w:uiPriority w:val="99"/>
    <w:rsid w:val="00372B56"/>
    <w:rPr>
      <w:rFonts w:ascii="華康楷書體W5" w:eastAsia="華康楷書體W5" w:hAnsi="Times New Roman" w:cs="Times New Roman"/>
      <w:sz w:val="20"/>
      <w:szCs w:val="20"/>
    </w:rPr>
  </w:style>
  <w:style w:type="paragraph" w:styleId="a7">
    <w:name w:val="footer"/>
    <w:basedOn w:val="a"/>
    <w:link w:val="a8"/>
    <w:uiPriority w:val="99"/>
    <w:unhideWhenUsed/>
    <w:rsid w:val="00372B56"/>
    <w:pPr>
      <w:tabs>
        <w:tab w:val="center" w:pos="4153"/>
        <w:tab w:val="right" w:pos="8306"/>
      </w:tabs>
    </w:pPr>
    <w:rPr>
      <w:sz w:val="20"/>
      <w:szCs w:val="20"/>
    </w:rPr>
  </w:style>
  <w:style w:type="character" w:customStyle="1" w:styleId="a8">
    <w:name w:val="頁尾 字元"/>
    <w:basedOn w:val="a0"/>
    <w:link w:val="a7"/>
    <w:uiPriority w:val="99"/>
    <w:rsid w:val="00372B56"/>
    <w:rPr>
      <w:rFonts w:ascii="華康楷書體W5" w:eastAsia="華康楷書體W5" w:hAnsi="Times New Roman" w:cs="Times New Roman"/>
      <w:sz w:val="20"/>
      <w:szCs w:val="20"/>
    </w:rPr>
  </w:style>
  <w:style w:type="paragraph" w:styleId="a9">
    <w:name w:val="Balloon Text"/>
    <w:basedOn w:val="a"/>
    <w:link w:val="aa"/>
    <w:uiPriority w:val="99"/>
    <w:semiHidden/>
    <w:unhideWhenUsed/>
    <w:rsid w:val="007A0E31"/>
    <w:pPr>
      <w:spacing w:line="240" w:lineRule="auto"/>
    </w:pPr>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7A0E31"/>
    <w:rPr>
      <w:rFonts w:asciiTheme="majorHAnsi" w:eastAsiaTheme="majorEastAsia" w:hAnsiTheme="majorHAnsi" w:cstheme="majorBidi"/>
      <w:sz w:val="18"/>
      <w:szCs w:val="18"/>
    </w:rPr>
  </w:style>
  <w:style w:type="paragraph" w:customStyle="1" w:styleId="31">
    <w:name w:val="字元3 字元 字元 字元1 字元 字元"/>
    <w:basedOn w:val="a"/>
    <w:rsid w:val="009D7E96"/>
    <w:pPr>
      <w:widowControl/>
      <w:kinsoku/>
      <w:overflowPunct/>
      <w:adjustRightInd/>
      <w:snapToGrid/>
      <w:spacing w:after="160" w:line="240" w:lineRule="exact"/>
    </w:pPr>
    <w:rPr>
      <w:rFonts w:ascii="Arial" w:eastAsia="Times New Roman" w:hAnsi="Arial" w:cs="Arial"/>
      <w:kern w:val="0"/>
      <w:sz w:val="20"/>
      <w:szCs w:val="20"/>
      <w:lang w:eastAsia="en-US"/>
    </w:rPr>
  </w:style>
  <w:style w:type="table" w:styleId="ab">
    <w:name w:val="Table Grid"/>
    <w:basedOn w:val="a1"/>
    <w:uiPriority w:val="39"/>
    <w:rsid w:val="002D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link w:val="ad"/>
    <w:uiPriority w:val="99"/>
    <w:semiHidden/>
    <w:unhideWhenUsed/>
    <w:rsid w:val="00B16A22"/>
    <w:pPr>
      <w:jc w:val="right"/>
    </w:pPr>
  </w:style>
  <w:style w:type="character" w:customStyle="1" w:styleId="ad">
    <w:name w:val="日期 字元"/>
    <w:basedOn w:val="a0"/>
    <w:link w:val="ac"/>
    <w:uiPriority w:val="99"/>
    <w:semiHidden/>
    <w:rsid w:val="00B16A22"/>
    <w:rPr>
      <w:rFonts w:ascii="華康楷書體W5" w:eastAsia="華康楷書體W5" w:hAnsi="Times New Roman" w:cs="Times New Roman"/>
      <w:sz w:val="32"/>
      <w:szCs w:val="32"/>
    </w:rPr>
  </w:style>
  <w:style w:type="table" w:customStyle="1" w:styleId="1">
    <w:name w:val="表格格線1"/>
    <w:basedOn w:val="a1"/>
    <w:next w:val="ab"/>
    <w:uiPriority w:val="59"/>
    <w:rsid w:val="00B05DA0"/>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格格線11"/>
    <w:basedOn w:val="a1"/>
    <w:next w:val="ab"/>
    <w:uiPriority w:val="39"/>
    <w:rsid w:val="00B05DA0"/>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格格線2"/>
    <w:basedOn w:val="a1"/>
    <w:next w:val="ab"/>
    <w:uiPriority w:val="39"/>
    <w:rsid w:val="00B05DA0"/>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175526">
      <w:bodyDiv w:val="1"/>
      <w:marLeft w:val="0"/>
      <w:marRight w:val="0"/>
      <w:marTop w:val="0"/>
      <w:marBottom w:val="0"/>
      <w:divBdr>
        <w:top w:val="none" w:sz="0" w:space="0" w:color="auto"/>
        <w:left w:val="none" w:sz="0" w:space="0" w:color="auto"/>
        <w:bottom w:val="none" w:sz="0" w:space="0" w:color="auto"/>
        <w:right w:val="none" w:sz="0" w:space="0" w:color="auto"/>
      </w:divBdr>
    </w:div>
    <w:div w:id="210464300">
      <w:bodyDiv w:val="1"/>
      <w:marLeft w:val="0"/>
      <w:marRight w:val="0"/>
      <w:marTop w:val="0"/>
      <w:marBottom w:val="0"/>
      <w:divBdr>
        <w:top w:val="none" w:sz="0" w:space="0" w:color="auto"/>
        <w:left w:val="none" w:sz="0" w:space="0" w:color="auto"/>
        <w:bottom w:val="none" w:sz="0" w:space="0" w:color="auto"/>
        <w:right w:val="none" w:sz="0" w:space="0" w:color="auto"/>
      </w:divBdr>
    </w:div>
    <w:div w:id="339352851">
      <w:bodyDiv w:val="1"/>
      <w:marLeft w:val="0"/>
      <w:marRight w:val="0"/>
      <w:marTop w:val="0"/>
      <w:marBottom w:val="0"/>
      <w:divBdr>
        <w:top w:val="none" w:sz="0" w:space="0" w:color="auto"/>
        <w:left w:val="none" w:sz="0" w:space="0" w:color="auto"/>
        <w:bottom w:val="none" w:sz="0" w:space="0" w:color="auto"/>
        <w:right w:val="none" w:sz="0" w:space="0" w:color="auto"/>
      </w:divBdr>
    </w:div>
    <w:div w:id="446585444">
      <w:bodyDiv w:val="1"/>
      <w:marLeft w:val="0"/>
      <w:marRight w:val="0"/>
      <w:marTop w:val="0"/>
      <w:marBottom w:val="0"/>
      <w:divBdr>
        <w:top w:val="none" w:sz="0" w:space="0" w:color="auto"/>
        <w:left w:val="none" w:sz="0" w:space="0" w:color="auto"/>
        <w:bottom w:val="none" w:sz="0" w:space="0" w:color="auto"/>
        <w:right w:val="none" w:sz="0" w:space="0" w:color="auto"/>
      </w:divBdr>
    </w:div>
    <w:div w:id="462428807">
      <w:bodyDiv w:val="1"/>
      <w:marLeft w:val="0"/>
      <w:marRight w:val="0"/>
      <w:marTop w:val="0"/>
      <w:marBottom w:val="0"/>
      <w:divBdr>
        <w:top w:val="none" w:sz="0" w:space="0" w:color="auto"/>
        <w:left w:val="none" w:sz="0" w:space="0" w:color="auto"/>
        <w:bottom w:val="none" w:sz="0" w:space="0" w:color="auto"/>
        <w:right w:val="none" w:sz="0" w:space="0" w:color="auto"/>
      </w:divBdr>
    </w:div>
    <w:div w:id="463889909">
      <w:bodyDiv w:val="1"/>
      <w:marLeft w:val="0"/>
      <w:marRight w:val="0"/>
      <w:marTop w:val="0"/>
      <w:marBottom w:val="0"/>
      <w:divBdr>
        <w:top w:val="none" w:sz="0" w:space="0" w:color="auto"/>
        <w:left w:val="none" w:sz="0" w:space="0" w:color="auto"/>
        <w:bottom w:val="none" w:sz="0" w:space="0" w:color="auto"/>
        <w:right w:val="none" w:sz="0" w:space="0" w:color="auto"/>
      </w:divBdr>
    </w:div>
    <w:div w:id="685599417">
      <w:bodyDiv w:val="1"/>
      <w:marLeft w:val="0"/>
      <w:marRight w:val="0"/>
      <w:marTop w:val="0"/>
      <w:marBottom w:val="0"/>
      <w:divBdr>
        <w:top w:val="none" w:sz="0" w:space="0" w:color="auto"/>
        <w:left w:val="none" w:sz="0" w:space="0" w:color="auto"/>
        <w:bottom w:val="none" w:sz="0" w:space="0" w:color="auto"/>
        <w:right w:val="none" w:sz="0" w:space="0" w:color="auto"/>
      </w:divBdr>
    </w:div>
    <w:div w:id="690108415">
      <w:bodyDiv w:val="1"/>
      <w:marLeft w:val="0"/>
      <w:marRight w:val="0"/>
      <w:marTop w:val="0"/>
      <w:marBottom w:val="0"/>
      <w:divBdr>
        <w:top w:val="none" w:sz="0" w:space="0" w:color="auto"/>
        <w:left w:val="none" w:sz="0" w:space="0" w:color="auto"/>
        <w:bottom w:val="none" w:sz="0" w:space="0" w:color="auto"/>
        <w:right w:val="none" w:sz="0" w:space="0" w:color="auto"/>
      </w:divBdr>
    </w:div>
    <w:div w:id="762258566">
      <w:bodyDiv w:val="1"/>
      <w:marLeft w:val="0"/>
      <w:marRight w:val="0"/>
      <w:marTop w:val="0"/>
      <w:marBottom w:val="0"/>
      <w:divBdr>
        <w:top w:val="none" w:sz="0" w:space="0" w:color="auto"/>
        <w:left w:val="none" w:sz="0" w:space="0" w:color="auto"/>
        <w:bottom w:val="none" w:sz="0" w:space="0" w:color="auto"/>
        <w:right w:val="none" w:sz="0" w:space="0" w:color="auto"/>
      </w:divBdr>
    </w:div>
    <w:div w:id="791947241">
      <w:bodyDiv w:val="1"/>
      <w:marLeft w:val="0"/>
      <w:marRight w:val="0"/>
      <w:marTop w:val="0"/>
      <w:marBottom w:val="0"/>
      <w:divBdr>
        <w:top w:val="none" w:sz="0" w:space="0" w:color="auto"/>
        <w:left w:val="none" w:sz="0" w:space="0" w:color="auto"/>
        <w:bottom w:val="none" w:sz="0" w:space="0" w:color="auto"/>
        <w:right w:val="none" w:sz="0" w:space="0" w:color="auto"/>
      </w:divBdr>
    </w:div>
    <w:div w:id="805588975">
      <w:bodyDiv w:val="1"/>
      <w:marLeft w:val="0"/>
      <w:marRight w:val="0"/>
      <w:marTop w:val="0"/>
      <w:marBottom w:val="0"/>
      <w:divBdr>
        <w:top w:val="none" w:sz="0" w:space="0" w:color="auto"/>
        <w:left w:val="none" w:sz="0" w:space="0" w:color="auto"/>
        <w:bottom w:val="none" w:sz="0" w:space="0" w:color="auto"/>
        <w:right w:val="none" w:sz="0" w:space="0" w:color="auto"/>
      </w:divBdr>
    </w:div>
    <w:div w:id="1182091961">
      <w:bodyDiv w:val="1"/>
      <w:marLeft w:val="0"/>
      <w:marRight w:val="0"/>
      <w:marTop w:val="0"/>
      <w:marBottom w:val="0"/>
      <w:divBdr>
        <w:top w:val="none" w:sz="0" w:space="0" w:color="auto"/>
        <w:left w:val="none" w:sz="0" w:space="0" w:color="auto"/>
        <w:bottom w:val="none" w:sz="0" w:space="0" w:color="auto"/>
        <w:right w:val="none" w:sz="0" w:space="0" w:color="auto"/>
      </w:divBdr>
    </w:div>
    <w:div w:id="1195726108">
      <w:bodyDiv w:val="1"/>
      <w:marLeft w:val="0"/>
      <w:marRight w:val="0"/>
      <w:marTop w:val="0"/>
      <w:marBottom w:val="0"/>
      <w:divBdr>
        <w:top w:val="none" w:sz="0" w:space="0" w:color="auto"/>
        <w:left w:val="none" w:sz="0" w:space="0" w:color="auto"/>
        <w:bottom w:val="none" w:sz="0" w:space="0" w:color="auto"/>
        <w:right w:val="none" w:sz="0" w:space="0" w:color="auto"/>
      </w:divBdr>
    </w:div>
    <w:div w:id="1240554798">
      <w:bodyDiv w:val="1"/>
      <w:marLeft w:val="0"/>
      <w:marRight w:val="0"/>
      <w:marTop w:val="0"/>
      <w:marBottom w:val="0"/>
      <w:divBdr>
        <w:top w:val="none" w:sz="0" w:space="0" w:color="auto"/>
        <w:left w:val="none" w:sz="0" w:space="0" w:color="auto"/>
        <w:bottom w:val="none" w:sz="0" w:space="0" w:color="auto"/>
        <w:right w:val="none" w:sz="0" w:space="0" w:color="auto"/>
      </w:divBdr>
    </w:div>
    <w:div w:id="1316684135">
      <w:bodyDiv w:val="1"/>
      <w:marLeft w:val="0"/>
      <w:marRight w:val="0"/>
      <w:marTop w:val="0"/>
      <w:marBottom w:val="0"/>
      <w:divBdr>
        <w:top w:val="none" w:sz="0" w:space="0" w:color="auto"/>
        <w:left w:val="none" w:sz="0" w:space="0" w:color="auto"/>
        <w:bottom w:val="none" w:sz="0" w:space="0" w:color="auto"/>
        <w:right w:val="none" w:sz="0" w:space="0" w:color="auto"/>
      </w:divBdr>
    </w:div>
    <w:div w:id="1322196626">
      <w:bodyDiv w:val="1"/>
      <w:marLeft w:val="0"/>
      <w:marRight w:val="0"/>
      <w:marTop w:val="0"/>
      <w:marBottom w:val="0"/>
      <w:divBdr>
        <w:top w:val="none" w:sz="0" w:space="0" w:color="auto"/>
        <w:left w:val="none" w:sz="0" w:space="0" w:color="auto"/>
        <w:bottom w:val="none" w:sz="0" w:space="0" w:color="auto"/>
        <w:right w:val="none" w:sz="0" w:space="0" w:color="auto"/>
      </w:divBdr>
    </w:div>
    <w:div w:id="1324891911">
      <w:bodyDiv w:val="1"/>
      <w:marLeft w:val="0"/>
      <w:marRight w:val="0"/>
      <w:marTop w:val="0"/>
      <w:marBottom w:val="0"/>
      <w:divBdr>
        <w:top w:val="none" w:sz="0" w:space="0" w:color="auto"/>
        <w:left w:val="none" w:sz="0" w:space="0" w:color="auto"/>
        <w:bottom w:val="none" w:sz="0" w:space="0" w:color="auto"/>
        <w:right w:val="none" w:sz="0" w:space="0" w:color="auto"/>
      </w:divBdr>
    </w:div>
    <w:div w:id="1449542409">
      <w:bodyDiv w:val="1"/>
      <w:marLeft w:val="0"/>
      <w:marRight w:val="0"/>
      <w:marTop w:val="0"/>
      <w:marBottom w:val="0"/>
      <w:divBdr>
        <w:top w:val="none" w:sz="0" w:space="0" w:color="auto"/>
        <w:left w:val="none" w:sz="0" w:space="0" w:color="auto"/>
        <w:bottom w:val="none" w:sz="0" w:space="0" w:color="auto"/>
        <w:right w:val="none" w:sz="0" w:space="0" w:color="auto"/>
      </w:divBdr>
    </w:div>
    <w:div w:id="1504541820">
      <w:bodyDiv w:val="1"/>
      <w:marLeft w:val="0"/>
      <w:marRight w:val="0"/>
      <w:marTop w:val="0"/>
      <w:marBottom w:val="0"/>
      <w:divBdr>
        <w:top w:val="none" w:sz="0" w:space="0" w:color="auto"/>
        <w:left w:val="none" w:sz="0" w:space="0" w:color="auto"/>
        <w:bottom w:val="none" w:sz="0" w:space="0" w:color="auto"/>
        <w:right w:val="none" w:sz="0" w:space="0" w:color="auto"/>
      </w:divBdr>
    </w:div>
    <w:div w:id="1516335718">
      <w:bodyDiv w:val="1"/>
      <w:marLeft w:val="0"/>
      <w:marRight w:val="0"/>
      <w:marTop w:val="0"/>
      <w:marBottom w:val="0"/>
      <w:divBdr>
        <w:top w:val="none" w:sz="0" w:space="0" w:color="auto"/>
        <w:left w:val="none" w:sz="0" w:space="0" w:color="auto"/>
        <w:bottom w:val="none" w:sz="0" w:space="0" w:color="auto"/>
        <w:right w:val="none" w:sz="0" w:space="0" w:color="auto"/>
      </w:divBdr>
    </w:div>
    <w:div w:id="1614050393">
      <w:bodyDiv w:val="1"/>
      <w:marLeft w:val="0"/>
      <w:marRight w:val="0"/>
      <w:marTop w:val="0"/>
      <w:marBottom w:val="0"/>
      <w:divBdr>
        <w:top w:val="none" w:sz="0" w:space="0" w:color="auto"/>
        <w:left w:val="none" w:sz="0" w:space="0" w:color="auto"/>
        <w:bottom w:val="none" w:sz="0" w:space="0" w:color="auto"/>
        <w:right w:val="none" w:sz="0" w:space="0" w:color="auto"/>
      </w:divBdr>
    </w:div>
    <w:div w:id="1687561915">
      <w:bodyDiv w:val="1"/>
      <w:marLeft w:val="0"/>
      <w:marRight w:val="0"/>
      <w:marTop w:val="0"/>
      <w:marBottom w:val="0"/>
      <w:divBdr>
        <w:top w:val="none" w:sz="0" w:space="0" w:color="auto"/>
        <w:left w:val="none" w:sz="0" w:space="0" w:color="auto"/>
        <w:bottom w:val="none" w:sz="0" w:space="0" w:color="auto"/>
        <w:right w:val="none" w:sz="0" w:space="0" w:color="auto"/>
      </w:divBdr>
    </w:div>
    <w:div w:id="1855460888">
      <w:bodyDiv w:val="1"/>
      <w:marLeft w:val="0"/>
      <w:marRight w:val="0"/>
      <w:marTop w:val="0"/>
      <w:marBottom w:val="0"/>
      <w:divBdr>
        <w:top w:val="none" w:sz="0" w:space="0" w:color="auto"/>
        <w:left w:val="none" w:sz="0" w:space="0" w:color="auto"/>
        <w:bottom w:val="none" w:sz="0" w:space="0" w:color="auto"/>
        <w:right w:val="none" w:sz="0" w:space="0" w:color="auto"/>
      </w:divBdr>
    </w:div>
    <w:div w:id="1883708736">
      <w:bodyDiv w:val="1"/>
      <w:marLeft w:val="0"/>
      <w:marRight w:val="0"/>
      <w:marTop w:val="0"/>
      <w:marBottom w:val="0"/>
      <w:divBdr>
        <w:top w:val="none" w:sz="0" w:space="0" w:color="auto"/>
        <w:left w:val="none" w:sz="0" w:space="0" w:color="auto"/>
        <w:bottom w:val="none" w:sz="0" w:space="0" w:color="auto"/>
        <w:right w:val="none" w:sz="0" w:space="0" w:color="auto"/>
      </w:divBdr>
    </w:div>
    <w:div w:id="2009096752">
      <w:bodyDiv w:val="1"/>
      <w:marLeft w:val="0"/>
      <w:marRight w:val="0"/>
      <w:marTop w:val="0"/>
      <w:marBottom w:val="0"/>
      <w:divBdr>
        <w:top w:val="none" w:sz="0" w:space="0" w:color="auto"/>
        <w:left w:val="none" w:sz="0" w:space="0" w:color="auto"/>
        <w:bottom w:val="none" w:sz="0" w:space="0" w:color="auto"/>
        <w:right w:val="none" w:sz="0" w:space="0" w:color="auto"/>
      </w:divBdr>
    </w:div>
    <w:div w:id="2129279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02EEA8-8911-4D21-95D6-7572497495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1603</TotalTime>
  <Pages>25</Pages>
  <Words>2570</Words>
  <Characters>14650</Characters>
  <Application>Microsoft Office Word</Application>
  <DocSecurity>0</DocSecurity>
  <Lines>122</Lines>
  <Paragraphs>34</Paragraphs>
  <ScaleCrop>false</ScaleCrop>
  <Company/>
  <LinksUpToDate>false</LinksUpToDate>
  <CharactersWithSpaces>17186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ko-pin</cp:lastModifiedBy>
  <cp:revision>25</cp:revision>
  <cp:lastPrinted>2022-03-24T09:51:00Z</cp:lastPrinted>
  <dcterms:created xsi:type="dcterms:W3CDTF">2022-03-24T02:07:00Z</dcterms:created>
  <dcterms:modified xsi:type="dcterms:W3CDTF">2022-03-25T07:21:00Z</dcterms:modified>
</cp:coreProperties>
</file>