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A54" w:rsidRPr="00E64288" w:rsidRDefault="00383A54" w:rsidP="00FF7DDF">
      <w:pPr>
        <w:spacing w:line="600" w:lineRule="exact"/>
        <w:ind w:leftChars="0" w:left="0" w:rightChars="-50" w:right="-142" w:firstLineChars="0" w:firstLine="0"/>
        <w:jc w:val="center"/>
        <w:rPr>
          <w:rFonts w:hint="eastAsia"/>
          <w:b/>
          <w:spacing w:val="-2"/>
          <w:sz w:val="36"/>
          <w:szCs w:val="36"/>
        </w:rPr>
      </w:pPr>
      <w:bookmarkStart w:id="0" w:name="_Toc508876770"/>
      <w:bookmarkStart w:id="1" w:name="_GoBack"/>
      <w:bookmarkEnd w:id="1"/>
      <w:r w:rsidRPr="00E64288">
        <w:rPr>
          <w:rFonts w:hint="eastAsia"/>
          <w:b/>
          <w:spacing w:val="-2"/>
          <w:sz w:val="36"/>
          <w:szCs w:val="36"/>
        </w:rPr>
        <w:t>1</w:t>
      </w:r>
      <w:r w:rsidR="005B69B4">
        <w:rPr>
          <w:rFonts w:hint="eastAsia"/>
          <w:b/>
          <w:spacing w:val="-2"/>
          <w:sz w:val="36"/>
          <w:szCs w:val="36"/>
        </w:rPr>
        <w:t>11</w:t>
      </w:r>
      <w:r w:rsidRPr="00E64288">
        <w:rPr>
          <w:rFonts w:hint="eastAsia"/>
          <w:b/>
          <w:spacing w:val="-2"/>
          <w:sz w:val="36"/>
          <w:szCs w:val="36"/>
        </w:rPr>
        <w:t>年度中央政府總預算案有關推動性別平等之重要決議事項彙總報告</w:t>
      </w:r>
    </w:p>
    <w:p w:rsidR="00383A54" w:rsidRPr="00E64288" w:rsidRDefault="00383A54" w:rsidP="00383A54">
      <w:pPr>
        <w:pStyle w:val="16"/>
        <w:ind w:left="648" w:hanging="648"/>
        <w:rPr>
          <w:rFonts w:hint="eastAsia"/>
          <w:szCs w:val="32"/>
        </w:rPr>
      </w:pPr>
      <w:bookmarkStart w:id="2" w:name="_Toc66375077"/>
      <w:r w:rsidRPr="00E64288">
        <w:rPr>
          <w:rFonts w:hint="eastAsia"/>
          <w:szCs w:val="32"/>
        </w:rPr>
        <w:t>二</w:t>
      </w:r>
      <w:r w:rsidRPr="00E64288">
        <w:rPr>
          <w:rFonts w:hAnsi="標楷體" w:hint="eastAsia"/>
          <w:szCs w:val="32"/>
        </w:rPr>
        <w:t>、</w:t>
      </w:r>
      <w:r w:rsidRPr="00E64288">
        <w:rPr>
          <w:rFonts w:hint="eastAsia"/>
          <w:szCs w:val="32"/>
        </w:rPr>
        <w:t>重要決議事項彙整</w:t>
      </w:r>
      <w:bookmarkEnd w:id="2"/>
    </w:p>
    <w:p w:rsidR="00383A54" w:rsidRPr="00E64288" w:rsidRDefault="00383A54" w:rsidP="00FF7DDF">
      <w:pPr>
        <w:spacing w:line="560" w:lineRule="exact"/>
        <w:ind w:left="567" w:firstLine="647"/>
        <w:rPr>
          <w:rFonts w:hint="eastAsia"/>
          <w:sz w:val="32"/>
          <w:szCs w:val="32"/>
        </w:rPr>
      </w:pPr>
      <w:r w:rsidRPr="00E64288">
        <w:rPr>
          <w:rFonts w:hint="eastAsia"/>
          <w:sz w:val="32"/>
          <w:szCs w:val="32"/>
        </w:rPr>
        <w:t>經查閱本院1</w:t>
      </w:r>
      <w:r w:rsidR="003E4CEB" w:rsidRPr="00E64288">
        <w:rPr>
          <w:rFonts w:hint="eastAsia"/>
          <w:sz w:val="32"/>
          <w:szCs w:val="32"/>
        </w:rPr>
        <w:t>11</w:t>
      </w:r>
      <w:r w:rsidRPr="00E64288">
        <w:rPr>
          <w:rFonts w:hint="eastAsia"/>
          <w:sz w:val="32"/>
          <w:szCs w:val="32"/>
        </w:rPr>
        <w:t>年度中央政府總預算案審查總報告</w:t>
      </w:r>
      <w:r w:rsidRPr="00E64288">
        <w:rPr>
          <w:rFonts w:hAnsi="標楷體" w:hint="eastAsia"/>
          <w:sz w:val="32"/>
          <w:szCs w:val="32"/>
        </w:rPr>
        <w:t>，</w:t>
      </w:r>
      <w:r w:rsidR="00C30D70" w:rsidRPr="00E64288">
        <w:rPr>
          <w:rFonts w:hAnsi="標楷體" w:hint="eastAsia"/>
          <w:sz w:val="32"/>
          <w:szCs w:val="32"/>
        </w:rPr>
        <w:t>其中</w:t>
      </w:r>
      <w:r w:rsidRPr="00E64288">
        <w:rPr>
          <w:rFonts w:hAnsi="標楷體" w:hint="eastAsia"/>
          <w:sz w:val="32"/>
          <w:szCs w:val="32"/>
        </w:rPr>
        <w:t>有助推動我國性別平等之重要決議事項共計</w:t>
      </w:r>
      <w:r w:rsidR="005A6C2C">
        <w:rPr>
          <w:rFonts w:hAnsi="標楷體" w:hint="eastAsia"/>
          <w:sz w:val="32"/>
          <w:szCs w:val="32"/>
        </w:rPr>
        <w:t>81</w:t>
      </w:r>
      <w:r w:rsidRPr="00E64288">
        <w:rPr>
          <w:rFonts w:hAnsi="標楷體" w:hint="eastAsia"/>
          <w:sz w:val="32"/>
          <w:szCs w:val="32"/>
        </w:rPr>
        <w:t>項，謹摘錄相關決議內容，詳如下表：</w:t>
      </w:r>
    </w:p>
    <w:tbl>
      <w:tblPr>
        <w:tblW w:w="8661" w:type="dxa"/>
        <w:tblInd w:w="9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14"/>
        <w:gridCol w:w="7947"/>
      </w:tblGrid>
      <w:tr w:rsidR="00A71D77" w:rsidRPr="00E64288" w:rsidTr="00FA3958">
        <w:trPr>
          <w:tblHeader/>
        </w:trPr>
        <w:tc>
          <w:tcPr>
            <w:tcW w:w="714" w:type="dxa"/>
            <w:vAlign w:val="center"/>
          </w:tcPr>
          <w:p w:rsidR="00A71D77" w:rsidRPr="00E64288" w:rsidRDefault="00A71D77" w:rsidP="00A71D77">
            <w:pPr>
              <w:pStyle w:val="145"/>
              <w:ind w:leftChars="-29" w:left="-82" w:rightChars="-33" w:right="-94"/>
              <w:jc w:val="center"/>
              <w:rPr>
                <w:rFonts w:hint="eastAsia"/>
                <w:spacing w:val="-10"/>
                <w:sz w:val="28"/>
              </w:rPr>
            </w:pPr>
            <w:bookmarkStart w:id="3" w:name="_Toc475628787"/>
            <w:bookmarkStart w:id="4" w:name="_Toc75580710"/>
            <w:bookmarkStart w:id="5" w:name="_Toc129660433"/>
            <w:bookmarkStart w:id="6" w:name="_Toc117410395"/>
            <w:bookmarkStart w:id="7" w:name="_Toc211136765"/>
            <w:bookmarkStart w:id="8" w:name="_Toc274665168"/>
            <w:bookmarkStart w:id="9" w:name="_Toc304963738"/>
            <w:bookmarkStart w:id="10" w:name="_Toc367201296"/>
            <w:bookmarkStart w:id="11" w:name="_Toc367785544"/>
            <w:bookmarkStart w:id="12" w:name="_Toc369884972"/>
            <w:bookmarkStart w:id="13" w:name="_Toc400014231"/>
            <w:bookmarkStart w:id="14" w:name="_Toc430857951"/>
            <w:bookmarkStart w:id="15" w:name="_Toc308195603"/>
            <w:bookmarkStart w:id="16" w:name="_Toc430857950"/>
            <w:bookmarkEnd w:id="0"/>
            <w:r w:rsidRPr="00E64288">
              <w:rPr>
                <w:rFonts w:hint="eastAsia"/>
                <w:spacing w:val="-10"/>
                <w:sz w:val="28"/>
              </w:rPr>
              <w:t>項次</w:t>
            </w:r>
          </w:p>
        </w:tc>
        <w:tc>
          <w:tcPr>
            <w:tcW w:w="7947" w:type="dxa"/>
            <w:shd w:val="clear" w:color="auto" w:fill="auto"/>
            <w:vAlign w:val="center"/>
          </w:tcPr>
          <w:p w:rsidR="00A71D77" w:rsidRPr="00E64288" w:rsidRDefault="00A71D77" w:rsidP="00A219AA">
            <w:pPr>
              <w:pStyle w:val="145"/>
              <w:spacing w:line="360" w:lineRule="exact"/>
              <w:jc w:val="center"/>
              <w:rPr>
                <w:sz w:val="28"/>
              </w:rPr>
            </w:pPr>
            <w:r w:rsidRPr="00E64288">
              <w:rPr>
                <w:rFonts w:hAnsi="標楷體" w:hint="eastAsia"/>
                <w:sz w:val="28"/>
              </w:rPr>
              <w:t>決  議  內  容</w:t>
            </w:r>
          </w:p>
        </w:tc>
      </w:tr>
      <w:tr w:rsidR="00A71D77" w:rsidRPr="00E64288" w:rsidTr="00FA3958">
        <w:tc>
          <w:tcPr>
            <w:tcW w:w="714" w:type="dxa"/>
          </w:tcPr>
          <w:p w:rsidR="00A71D77" w:rsidRPr="00E64288" w:rsidRDefault="00A71D77"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1.</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FF6AC5" w:rsidRPr="00E64288">
              <w:rPr>
                <w:rFonts w:hint="eastAsia"/>
                <w:sz w:val="28"/>
                <w:szCs w:val="28"/>
              </w:rPr>
              <w:t>內政委員會-歲出部分-行政院主管-行政院</w:t>
            </w:r>
            <w:r w:rsidRPr="00E64288">
              <w:rPr>
                <w:rFonts w:hint="eastAsia"/>
                <w:sz w:val="28"/>
                <w:szCs w:val="28"/>
              </w:rPr>
              <w:t>】</w:t>
            </w:r>
          </w:p>
          <w:p w:rsidR="00FF6AC5" w:rsidRPr="00E64288" w:rsidRDefault="00FF6AC5" w:rsidP="00FF6AC5">
            <w:pPr>
              <w:pStyle w:val="affe"/>
              <w:spacing w:line="400" w:lineRule="exact"/>
              <w:ind w:left="283" w:hangingChars="100" w:hanging="283"/>
              <w:rPr>
                <w:sz w:val="28"/>
                <w:szCs w:val="28"/>
              </w:rPr>
            </w:pPr>
            <w:r w:rsidRPr="00E64288">
              <w:rPr>
                <w:rFonts w:hint="eastAsia"/>
                <w:sz w:val="28"/>
                <w:szCs w:val="28"/>
              </w:rPr>
              <w:t>(六)111年度行政院單位預算第8目「性別平等業務」編列2,040萬3千元，凍結50萬元，俟行政院就下列各案向立法院內政委員會提出書面報告後，始得動支。</w:t>
            </w:r>
          </w:p>
          <w:p w:rsidR="00FF6AC5" w:rsidRPr="00E64288" w:rsidRDefault="00FF6AC5" w:rsidP="005C168F">
            <w:pPr>
              <w:pStyle w:val="affe"/>
              <w:spacing w:line="400" w:lineRule="exact"/>
              <w:ind w:leftChars="125" w:left="612" w:hanging="258"/>
              <w:rPr>
                <w:rFonts w:hint="eastAsia"/>
                <w:sz w:val="28"/>
                <w:szCs w:val="28"/>
              </w:rPr>
            </w:pPr>
            <w:r w:rsidRPr="00E64288">
              <w:rPr>
                <w:rFonts w:hint="eastAsia"/>
                <w:sz w:val="28"/>
                <w:szCs w:val="28"/>
              </w:rPr>
              <w:t>1</w:t>
            </w:r>
            <w:r w:rsidRPr="00E64288">
              <w:rPr>
                <w:rFonts w:ascii="華康細明體" w:hint="eastAsia"/>
                <w:sz w:val="28"/>
                <w:szCs w:val="28"/>
              </w:rPr>
              <w:t>.</w:t>
            </w:r>
            <w:r w:rsidRPr="00E64288">
              <w:rPr>
                <w:rFonts w:hint="eastAsia"/>
                <w:sz w:val="28"/>
                <w:szCs w:val="28"/>
              </w:rPr>
              <w:t>111年度行政院單位預算第8目「性別平等業務」之計畫內容為「性別平等政策、法案、計畫、方案之研擬及審議」、「督導各部會推動性別主流化實施計畫」等。然行政院為檢視109年度性別預算執行金額、執行率及年度預期成果達成率，以瞭解各部會109年度性別預算執行情形，以及投入資源規劃辦理之性別平等工作執行情形，於110年辦理「性別預算執行情形追蹤作業」並完成「109年度行政院及所屬各部會性別預算執行情形整體說明」報告，該報告指出，行政院及所屬部會性別平等預算執行率雖均超過9成，但性別平等年度預期成果達成率則均未達8成，預期成果達成率未盡理想，而預期成果達成率不理想之原因雖受新冠肺炎疫情、工程延長完工等因素影響，但行政院仍應重新檢視預期成果達成率之衡量指標，或擬訂可具體衡量達成情形及效益之質化指標。為提升性別平等預算預期成果達成率，爰凍結該項預算，俟行政院向立法院內政委員會提出改善書面報告後，始得動支。</w:t>
            </w:r>
          </w:p>
          <w:p w:rsidR="00FF6AC5" w:rsidRPr="00E64288" w:rsidRDefault="00FF6AC5" w:rsidP="005C168F">
            <w:pPr>
              <w:pStyle w:val="affe"/>
              <w:spacing w:line="400" w:lineRule="exact"/>
              <w:ind w:leftChars="125" w:left="612" w:hanging="258"/>
              <w:rPr>
                <w:rFonts w:hint="eastAsia"/>
                <w:sz w:val="28"/>
                <w:szCs w:val="28"/>
              </w:rPr>
            </w:pPr>
            <w:r w:rsidRPr="00E64288">
              <w:rPr>
                <w:rFonts w:hint="eastAsia"/>
                <w:sz w:val="28"/>
                <w:szCs w:val="28"/>
              </w:rPr>
              <w:t>2</w:t>
            </w:r>
            <w:r w:rsidRPr="00E64288">
              <w:rPr>
                <w:rFonts w:ascii="華康細明體" w:hint="eastAsia"/>
                <w:sz w:val="28"/>
                <w:szCs w:val="28"/>
              </w:rPr>
              <w:t>.</w:t>
            </w:r>
            <w:r w:rsidRPr="00E64288">
              <w:rPr>
                <w:rFonts w:hint="eastAsia"/>
                <w:sz w:val="28"/>
                <w:szCs w:val="28"/>
              </w:rPr>
              <w:t>111年度行政院單位預算第8目「性別平等業務」共編列2,040萬3千元。經查性別平等年度預期成果達成率平均介於73</w:t>
            </w:r>
            <w:r w:rsidRPr="00E64288">
              <w:rPr>
                <w:rFonts w:ascii="華康細明體" w:hint="eastAsia"/>
                <w:sz w:val="28"/>
                <w:szCs w:val="28"/>
              </w:rPr>
              <w:t>.</w:t>
            </w:r>
            <w:r w:rsidRPr="00E64288">
              <w:rPr>
                <w:rFonts w:hint="eastAsia"/>
                <w:sz w:val="28"/>
                <w:szCs w:val="28"/>
              </w:rPr>
              <w:t>37%至78</w:t>
            </w:r>
            <w:r w:rsidRPr="00E64288">
              <w:rPr>
                <w:rFonts w:ascii="華康細明體" w:hint="eastAsia"/>
                <w:sz w:val="28"/>
                <w:szCs w:val="28"/>
              </w:rPr>
              <w:t>.</w:t>
            </w:r>
            <w:r w:rsidRPr="00E64288">
              <w:rPr>
                <w:rFonts w:hint="eastAsia"/>
                <w:sz w:val="28"/>
                <w:szCs w:val="28"/>
              </w:rPr>
              <w:t>32%之間，均未達8成，恐與原計畫之預期效益所差甚遠，此況實不利於我國性別平等之推展。爰此，</w:t>
            </w:r>
            <w:r w:rsidRPr="00E64288">
              <w:rPr>
                <w:rFonts w:hint="eastAsia"/>
                <w:sz w:val="28"/>
                <w:szCs w:val="28"/>
              </w:rPr>
              <w:lastRenderedPageBreak/>
              <w:t>凍結該項預算，俟行政院向立法院內政委員會提出如何提升成果達成率，以及擬定具體可衡量效益之質化、量化指標之書面報告後，始得動支。</w:t>
            </w:r>
          </w:p>
          <w:p w:rsidR="006E5D57" w:rsidRPr="00E64288" w:rsidRDefault="00FF6AC5" w:rsidP="006E5D57">
            <w:pPr>
              <w:pStyle w:val="affe"/>
              <w:spacing w:line="400" w:lineRule="exact"/>
              <w:ind w:leftChars="125" w:left="612" w:hanging="258"/>
            </w:pPr>
            <w:r w:rsidRPr="00E64288">
              <w:rPr>
                <w:rFonts w:hAnsi="Times New Roman" w:cs="Times New Roman" w:hint="eastAsia"/>
                <w:snapToGrid w:val="0"/>
                <w:sz w:val="28"/>
                <w:szCs w:val="28"/>
              </w:rPr>
              <w:t>3</w:t>
            </w:r>
            <w:r w:rsidRPr="00E64288">
              <w:rPr>
                <w:rFonts w:ascii="華康細明體" w:hAnsi="Times New Roman" w:cs="Times New Roman" w:hint="eastAsia"/>
                <w:snapToGrid w:val="0"/>
                <w:sz w:val="28"/>
                <w:szCs w:val="28"/>
              </w:rPr>
              <w:t>.</w:t>
            </w:r>
            <w:r w:rsidRPr="00E64288">
              <w:rPr>
                <w:rFonts w:hAnsi="Times New Roman" w:cs="Times New Roman" w:hint="eastAsia"/>
                <w:snapToGrid w:val="0"/>
                <w:sz w:val="28"/>
                <w:szCs w:val="28"/>
              </w:rPr>
              <w:t>行政院111年度預算於性別平等業務工作計畫項目下之「推展性別平等權益促進工作」編列136萬7千元，用於推動各部會及地方政府性別主流化工作，及辦理相關活動及會議。</w:t>
            </w:r>
          </w:p>
          <w:p w:rsidR="006E5D57" w:rsidRPr="00E64288" w:rsidRDefault="006E5D57" w:rsidP="006E5D57">
            <w:pPr>
              <w:snapToGrid w:val="0"/>
              <w:spacing w:line="400" w:lineRule="exact"/>
              <w:ind w:leftChars="216" w:left="612" w:firstLine="567"/>
              <w:textAlignment w:val="center"/>
              <w:rPr>
                <w:rFonts w:hint="eastAsia"/>
                <w:snapToGrid/>
              </w:rPr>
            </w:pPr>
            <w:r w:rsidRPr="00E64288">
              <w:rPr>
                <w:rFonts w:hint="eastAsia"/>
                <w:snapToGrid/>
              </w:rPr>
              <w:t>行政院110年度首次辦理性別預算執行情形追蹤作業，透過檢視109年度性別預算執行金額、執行率及年度預期成果達成率，來評估性別平等工作執行情形。然性別平等年度預期成果達成率介於73</w:t>
            </w:r>
            <w:r w:rsidRPr="00E64288">
              <w:rPr>
                <w:rFonts w:ascii="華康細明體" w:hint="eastAsia"/>
                <w:snapToGrid/>
              </w:rPr>
              <w:t>.</w:t>
            </w:r>
            <w:r w:rsidRPr="00E64288">
              <w:rPr>
                <w:rFonts w:hint="eastAsia"/>
                <w:snapToGrid/>
              </w:rPr>
              <w:t>37%至78</w:t>
            </w:r>
            <w:r w:rsidRPr="00E64288">
              <w:rPr>
                <w:rFonts w:ascii="華康細明體" w:hint="eastAsia"/>
                <w:snapToGrid/>
              </w:rPr>
              <w:t>.</w:t>
            </w:r>
            <w:r w:rsidRPr="00E64288">
              <w:rPr>
                <w:rFonts w:hint="eastAsia"/>
                <w:snapToGrid/>
              </w:rPr>
              <w:t>32%間，均未達8成，預期成果達成率不盡理想。鑑於績效指標區分為「投入型」、「過程型」、「產出型」及「成果型」等4個類型，其中以「成果型」最能展現機關施政之執行效益，行政院在性平業務績效指標上應以此為評估指標，才能衡量實際工作效益。</w:t>
            </w:r>
          </w:p>
          <w:p w:rsidR="00A71D77" w:rsidRPr="00E64288" w:rsidRDefault="006E5D57" w:rsidP="006E5D57">
            <w:pPr>
              <w:snapToGrid w:val="0"/>
              <w:spacing w:line="400" w:lineRule="exact"/>
              <w:ind w:leftChars="216" w:left="612" w:firstLine="567"/>
              <w:textAlignment w:val="center"/>
              <w:rPr>
                <w:rFonts w:hint="eastAsia"/>
              </w:rPr>
            </w:pPr>
            <w:r w:rsidRPr="00E64288">
              <w:rPr>
                <w:rFonts w:hint="eastAsia"/>
              </w:rPr>
              <w:t>爰此，凍結該項預算，俟行政院向立法院內政委員會提出改善性平工作執行效益之書面報告後，始得動支。</w:t>
            </w:r>
          </w:p>
        </w:tc>
      </w:tr>
      <w:tr w:rsidR="0055619D" w:rsidRPr="00E64288" w:rsidTr="00FA3958">
        <w:tc>
          <w:tcPr>
            <w:tcW w:w="714" w:type="dxa"/>
          </w:tcPr>
          <w:p w:rsidR="00A71D77" w:rsidRPr="00E64288" w:rsidRDefault="00A71D77"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lastRenderedPageBreak/>
              <w:t>2.</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【內政委員會-歲出部分-行政院</w:t>
            </w:r>
            <w:r w:rsidR="004F1410" w:rsidRPr="00E64288">
              <w:rPr>
                <w:rFonts w:hint="eastAsia"/>
                <w:sz w:val="28"/>
                <w:szCs w:val="28"/>
              </w:rPr>
              <w:t>主管-行政院</w:t>
            </w:r>
            <w:r w:rsidRPr="00E64288">
              <w:rPr>
                <w:rFonts w:hint="eastAsia"/>
                <w:sz w:val="28"/>
                <w:szCs w:val="28"/>
              </w:rPr>
              <w:t>】</w:t>
            </w:r>
          </w:p>
          <w:p w:rsidR="0055619D" w:rsidRPr="00E64288" w:rsidRDefault="0055619D" w:rsidP="0055619D">
            <w:pPr>
              <w:pStyle w:val="affe"/>
              <w:spacing w:line="400" w:lineRule="exact"/>
              <w:ind w:left="283" w:hangingChars="100" w:hanging="283"/>
              <w:rPr>
                <w:rFonts w:hint="eastAsia"/>
                <w:sz w:val="28"/>
                <w:szCs w:val="28"/>
              </w:rPr>
            </w:pPr>
            <w:r w:rsidRPr="00E64288">
              <w:rPr>
                <w:rFonts w:hint="eastAsia"/>
                <w:sz w:val="28"/>
                <w:szCs w:val="28"/>
              </w:rPr>
              <w:t>(四十八) 111年度行政院單位預算第8目「性別平等業務」編列2,040萬3千元，工作項目：研擬性別平等政策法案、計畫、督導各部會推動性別主流化實施計畫、落實消除歧視、促進婦女參與國際暨推動地方性別平等培力工作等。預算並已較前一年度（110）增加637萬5千元。</w:t>
            </w:r>
          </w:p>
          <w:p w:rsidR="0055619D" w:rsidRPr="00E64288" w:rsidRDefault="0055619D" w:rsidP="0055619D">
            <w:pPr>
              <w:pStyle w:val="affe"/>
              <w:spacing w:line="400" w:lineRule="exact"/>
              <w:ind w:leftChars="103" w:left="292" w:firstLineChars="204" w:firstLine="578"/>
              <w:rPr>
                <w:rFonts w:hint="eastAsia"/>
                <w:sz w:val="28"/>
                <w:szCs w:val="28"/>
              </w:rPr>
            </w:pPr>
            <w:r w:rsidRPr="00E64288">
              <w:rPr>
                <w:rFonts w:hint="eastAsia"/>
                <w:sz w:val="28"/>
                <w:szCs w:val="28"/>
              </w:rPr>
              <w:t>但是，依據行政院性別平等處發布之「109年度行政院及所屬各部會性別預算執行情形整體說明報告」：性別平等年度預期成果達成率介於73.37%至78.32%間，未能達到8成。</w:t>
            </w:r>
          </w:p>
          <w:p w:rsidR="0055619D" w:rsidRPr="00E64288" w:rsidRDefault="0055619D" w:rsidP="0055619D">
            <w:pPr>
              <w:pStyle w:val="affe"/>
              <w:spacing w:line="400" w:lineRule="exact"/>
              <w:ind w:leftChars="103" w:left="292" w:firstLineChars="204" w:firstLine="578"/>
              <w:rPr>
                <w:rFonts w:hint="eastAsia"/>
                <w:sz w:val="28"/>
                <w:szCs w:val="28"/>
              </w:rPr>
            </w:pPr>
            <w:r w:rsidRPr="00E64288">
              <w:rPr>
                <w:rFonts w:hint="eastAsia"/>
                <w:sz w:val="28"/>
                <w:szCs w:val="28"/>
              </w:rPr>
              <w:t>但因COVID-19疫情影響：許多國內外會議、活動取消或縮減規模，各機關無法辦理例行性之性別平等意識培力課程、性別平等專案小組或性別平等專家諮詢會議、國外會議，無法達到參與人數、參訓率、辦理場次之目標。</w:t>
            </w:r>
          </w:p>
          <w:p w:rsidR="0055619D" w:rsidRPr="00E64288" w:rsidRDefault="0055619D" w:rsidP="0055619D">
            <w:pPr>
              <w:pStyle w:val="affe"/>
              <w:spacing w:line="400" w:lineRule="exact"/>
              <w:ind w:leftChars="103" w:left="292" w:firstLineChars="204" w:firstLine="578"/>
              <w:rPr>
                <w:rFonts w:hint="eastAsia"/>
                <w:sz w:val="28"/>
                <w:szCs w:val="28"/>
              </w:rPr>
            </w:pPr>
            <w:r w:rsidRPr="00E64288">
              <w:rPr>
                <w:rFonts w:hint="eastAsia"/>
                <w:sz w:val="28"/>
                <w:szCs w:val="28"/>
              </w:rPr>
              <w:t>鑑於行政院已於民國100年函頒「性別平等政策綱領」：內容涵蓋7大領域政策願景、255項具體行動措施，可見「性</w:t>
            </w:r>
            <w:r w:rsidRPr="00E64288">
              <w:rPr>
                <w:rFonts w:hint="eastAsia"/>
                <w:sz w:val="28"/>
                <w:szCs w:val="28"/>
              </w:rPr>
              <w:lastRenderedPageBreak/>
              <w:t>別平等」是政府重要施政目標。</w:t>
            </w:r>
          </w:p>
          <w:p w:rsidR="00A71D77" w:rsidRPr="00E64288" w:rsidRDefault="0055619D" w:rsidP="0055619D">
            <w:pPr>
              <w:pStyle w:val="affe"/>
              <w:spacing w:line="400" w:lineRule="exact"/>
              <w:ind w:leftChars="103" w:left="292" w:firstLineChars="204" w:firstLine="578"/>
              <w:rPr>
                <w:rFonts w:hint="eastAsia"/>
                <w:sz w:val="28"/>
                <w:szCs w:val="28"/>
              </w:rPr>
            </w:pPr>
            <w:r w:rsidRPr="00E64288">
              <w:rPr>
                <w:rFonts w:hint="eastAsia"/>
                <w:sz w:val="28"/>
                <w:szCs w:val="28"/>
              </w:rPr>
              <w:t>但是109年度行政院及所屬各部會性別預算之年度預期成果已未達目標，行政院111年度性別平等業務卻又提高預</w:t>
            </w:r>
            <w:r w:rsidRPr="00E64288">
              <w:rPr>
                <w:rFonts w:hint="eastAsia"/>
                <w:sz w:val="28"/>
                <w:szCs w:val="28"/>
              </w:rPr>
              <w:lastRenderedPageBreak/>
              <w:t>算，建請行政院提出強化措施，3個月內向立法院內政委員會提出書面報告。</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lastRenderedPageBreak/>
              <w:t>3.</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【內政委員會-歲出部分-</w:t>
            </w:r>
            <w:r w:rsidR="004F1410" w:rsidRPr="00E64288">
              <w:rPr>
                <w:rFonts w:hint="eastAsia"/>
                <w:sz w:val="28"/>
                <w:szCs w:val="28"/>
              </w:rPr>
              <w:t>行政院主管-</w:t>
            </w:r>
            <w:r w:rsidRPr="00E64288">
              <w:rPr>
                <w:rFonts w:hint="eastAsia"/>
                <w:sz w:val="28"/>
                <w:szCs w:val="28"/>
              </w:rPr>
              <w:t>行政院】</w:t>
            </w:r>
          </w:p>
          <w:p w:rsidR="00A71D77" w:rsidRPr="00E64288" w:rsidRDefault="0055619D" w:rsidP="00397617">
            <w:pPr>
              <w:pStyle w:val="affe"/>
              <w:spacing w:line="400" w:lineRule="exact"/>
              <w:ind w:left="283" w:hangingChars="100" w:hanging="283"/>
              <w:rPr>
                <w:rFonts w:hint="eastAsia"/>
                <w:sz w:val="28"/>
                <w:szCs w:val="28"/>
              </w:rPr>
            </w:pPr>
            <w:r w:rsidRPr="00E64288">
              <w:rPr>
                <w:rFonts w:hint="eastAsia"/>
                <w:sz w:val="28"/>
                <w:szCs w:val="28"/>
              </w:rPr>
              <w:t>(五十五)111年度行政院單位預算第8目「性別平等業務」編列2,040萬3千元，110年國內發生多起網路散布性私密影像、利用深偽（Deepfake）技術色情犯罪等網路及數位性別暴力等重大性平事件，實有改進空間，爰凍結50萬元，俟向立法院內政委員會提出書面報告後，始得動支。</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4.</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【內政委員會-歲出部分-</w:t>
            </w:r>
            <w:r w:rsidR="00E864CC" w:rsidRPr="00E64288">
              <w:rPr>
                <w:rFonts w:hint="eastAsia"/>
                <w:sz w:val="28"/>
                <w:szCs w:val="28"/>
              </w:rPr>
              <w:t>行政院主管-</w:t>
            </w:r>
            <w:r w:rsidRPr="00E64288">
              <w:rPr>
                <w:rFonts w:hint="eastAsia"/>
                <w:sz w:val="28"/>
                <w:szCs w:val="28"/>
              </w:rPr>
              <w:t>行政院】</w:t>
            </w:r>
          </w:p>
          <w:p w:rsidR="0055619D" w:rsidRPr="00E64288" w:rsidRDefault="0055619D" w:rsidP="0055619D">
            <w:pPr>
              <w:pStyle w:val="affe"/>
              <w:spacing w:line="400" w:lineRule="exact"/>
              <w:ind w:left="283" w:hangingChars="100" w:hanging="283"/>
              <w:rPr>
                <w:rFonts w:hint="eastAsia"/>
                <w:sz w:val="28"/>
                <w:szCs w:val="28"/>
              </w:rPr>
            </w:pPr>
            <w:r w:rsidRPr="00E64288">
              <w:rPr>
                <w:rFonts w:hint="eastAsia"/>
                <w:sz w:val="28"/>
                <w:szCs w:val="28"/>
              </w:rPr>
              <w:t>(六十七)依據勞動部統計，109年度男、女性勞動力參與率分別為67.24%及51.41%，較99年度66.51%及49.89%上升，兩性間差距亦由16.62個百分點逐年縮減為15.83個百分點，惟我國女性勞動力參與率仍較鄰近日本(53.2%)、香港(54.2%)及新加坡(61.2%)為低；另依各年齡組別觀察，我國女性勞動力參與率於25至29歲間達到最高峰約9成，隨年齡增加呈下降趨勢，另依據勞動部「109年中高齡及高齡(45歲以上)勞動參與狀況」統計，近年中高齡及高齡之女性勞動力參與率雖逐年提升，惟併計後之中高齡(45-64歲)及高齡(65歲以上) 勞動力參與率女性及男性分別為35.23%及55.67%，仍存相當差距，中高齡及高齡婦女就業問題，仍待研謀改善。</w:t>
            </w:r>
          </w:p>
          <w:p w:rsidR="00A71D77" w:rsidRPr="00E64288" w:rsidRDefault="0055619D" w:rsidP="0055619D">
            <w:pPr>
              <w:pStyle w:val="affe"/>
              <w:spacing w:line="400" w:lineRule="exact"/>
              <w:ind w:leftChars="103" w:left="292" w:firstLineChars="204" w:firstLine="578"/>
              <w:rPr>
                <w:rFonts w:hint="eastAsia"/>
                <w:sz w:val="28"/>
                <w:szCs w:val="28"/>
              </w:rPr>
            </w:pPr>
            <w:r w:rsidRPr="00E64288">
              <w:rPr>
                <w:rFonts w:hint="eastAsia"/>
                <w:sz w:val="28"/>
                <w:szCs w:val="28"/>
              </w:rPr>
              <w:t>審計部109年度中央政府總決算審核報告亦提出：「政府致力於促進性別平權，惟我國新生兒性別比率失衡，女性面臨工作及家庭雙重壓力等困境尚未緩解，建議應研議建置符合國情之性別平等量測機制，作為研訂政策及檢討推動成效之準據，以營造國人樂婚願生之性別平等環境」等審核意見。爰此請行政院向立法內政委員會提出書面報告。</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5.</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【內政委員會-歲出部分-</w:t>
            </w:r>
            <w:r w:rsidR="00E864CC" w:rsidRPr="00E64288">
              <w:rPr>
                <w:rFonts w:hint="eastAsia"/>
                <w:sz w:val="28"/>
                <w:szCs w:val="28"/>
              </w:rPr>
              <w:t>行政院主管-</w:t>
            </w:r>
            <w:r w:rsidR="007866B9" w:rsidRPr="00E64288">
              <w:rPr>
                <w:rFonts w:hint="eastAsia"/>
                <w:sz w:val="28"/>
                <w:szCs w:val="28"/>
              </w:rPr>
              <w:t>客家委員會及所屬</w:t>
            </w:r>
            <w:r w:rsidRPr="00E64288">
              <w:rPr>
                <w:rFonts w:hint="eastAsia"/>
                <w:sz w:val="28"/>
                <w:szCs w:val="28"/>
              </w:rPr>
              <w:t>】</w:t>
            </w:r>
          </w:p>
          <w:p w:rsidR="00A71D77" w:rsidRPr="00E64288" w:rsidRDefault="0055619D" w:rsidP="00397617">
            <w:pPr>
              <w:pStyle w:val="affe"/>
              <w:spacing w:line="400" w:lineRule="exact"/>
              <w:ind w:left="283" w:hangingChars="100" w:hanging="283"/>
              <w:rPr>
                <w:rFonts w:hint="eastAsia"/>
                <w:sz w:val="28"/>
                <w:szCs w:val="28"/>
              </w:rPr>
            </w:pPr>
            <w:r w:rsidRPr="00E64288">
              <w:rPr>
                <w:rFonts w:hint="eastAsia"/>
                <w:sz w:val="28"/>
                <w:szCs w:val="28"/>
              </w:rPr>
              <w:t>(五十一)111年度客家委員會及所屬單位預算第5目「藝文傳播推展」項下「客家傳播行銷計畫」編列7億5,262萬8千元。</w:t>
            </w:r>
            <w:r w:rsidRPr="00E64288">
              <w:rPr>
                <w:rFonts w:hint="eastAsia"/>
                <w:sz w:val="28"/>
                <w:szCs w:val="28"/>
              </w:rPr>
              <w:lastRenderedPageBreak/>
              <w:t>經查客家委員會於民國110年12月23日在網路與電視頻道播出「臺女不意外？」，該影片主要係為希望在多元文化與世代交替的臺灣，讓女性民眾可以無懼社會期待、勇於活出自我。惟該影片風格鮮明強烈，雖獲得不錯之共鳴，然評價褒貶不一。客家委員會在提升客家文化價值、增進文化深度的同時，應有效串聯客家傳統文化及客家新潮流。爰此，凍結該項預算二十分之一，俟客家委員會就未來宣傳短片製作兼顧現代與傳播文化之表現，向立法院內政委員會提出書面報告後，始得動支。</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lastRenderedPageBreak/>
              <w:t>6.</w:t>
            </w:r>
          </w:p>
        </w:tc>
        <w:tc>
          <w:tcPr>
            <w:tcW w:w="7947" w:type="dxa"/>
            <w:shd w:val="clear" w:color="auto" w:fill="auto"/>
          </w:tcPr>
          <w:p w:rsidR="00A71D77" w:rsidRPr="002B1F93" w:rsidRDefault="00A71D77" w:rsidP="00FF7DDF">
            <w:pPr>
              <w:pStyle w:val="affe"/>
              <w:spacing w:line="400" w:lineRule="exact"/>
              <w:ind w:leftChars="-35" w:left="247" w:hangingChars="122" w:hanging="346"/>
              <w:rPr>
                <w:rFonts w:hint="eastAsia"/>
                <w:sz w:val="28"/>
                <w:szCs w:val="28"/>
              </w:rPr>
            </w:pPr>
            <w:r w:rsidRPr="002B1F93">
              <w:rPr>
                <w:rFonts w:hint="eastAsia"/>
                <w:sz w:val="28"/>
                <w:szCs w:val="28"/>
              </w:rPr>
              <w:t>【</w:t>
            </w:r>
            <w:r w:rsidR="00137893" w:rsidRPr="002B1F93">
              <w:rPr>
                <w:rFonts w:hint="eastAsia"/>
                <w:sz w:val="28"/>
                <w:szCs w:val="28"/>
              </w:rPr>
              <w:t>內政委員會-歲出部分-</w:t>
            </w:r>
            <w:r w:rsidR="007866B9" w:rsidRPr="002B1F93">
              <w:rPr>
                <w:rFonts w:hint="eastAsia"/>
                <w:sz w:val="28"/>
                <w:szCs w:val="28"/>
              </w:rPr>
              <w:t>內政部</w:t>
            </w:r>
            <w:r w:rsidR="00E864CC" w:rsidRPr="002B1F93">
              <w:rPr>
                <w:rFonts w:hint="eastAsia"/>
                <w:sz w:val="28"/>
                <w:szCs w:val="28"/>
              </w:rPr>
              <w:t>主管-</w:t>
            </w:r>
            <w:r w:rsidR="007866B9" w:rsidRPr="002B1F93">
              <w:rPr>
                <w:rFonts w:hint="eastAsia"/>
                <w:sz w:val="28"/>
                <w:szCs w:val="28"/>
              </w:rPr>
              <w:t>營建署及所屬</w:t>
            </w:r>
            <w:r w:rsidRPr="002B1F93">
              <w:rPr>
                <w:rFonts w:hint="eastAsia"/>
                <w:sz w:val="28"/>
                <w:szCs w:val="28"/>
              </w:rPr>
              <w:t>】</w:t>
            </w:r>
          </w:p>
          <w:p w:rsidR="007866B9" w:rsidRPr="002B1F93" w:rsidRDefault="007866B9" w:rsidP="007866B9">
            <w:pPr>
              <w:pStyle w:val="affe"/>
              <w:spacing w:line="400" w:lineRule="exact"/>
              <w:ind w:left="283" w:hangingChars="100" w:hanging="283"/>
              <w:rPr>
                <w:rFonts w:hint="eastAsia"/>
                <w:sz w:val="28"/>
                <w:szCs w:val="28"/>
              </w:rPr>
            </w:pPr>
            <w:r w:rsidRPr="002B1F93">
              <w:rPr>
                <w:rFonts w:hint="eastAsia"/>
                <w:sz w:val="28"/>
                <w:szCs w:val="28"/>
              </w:rPr>
              <w:t>(六十二)111年度營建署及所屬單位預算「營建業務」編列新臺幣52億8858萬7千元。營建署實為我國住宅法之中央主管機關，然依據住宅法第2條第2項規定，應落實「（四）全國性住宅相關資訊之蒐集、分析及公布。（五）住宅政策、補貼、市場、品質與其他相關制度之建立及研究。」之必要，惟至今相關住宅調查極其欠缺，且應依據不同之住宅需求群體進行研究調查，例如弱勢高齡、婦女、青年群體等，應透過詳實調查擬定適合之政策。此外於合作住宅相關法令與政策等議題，民間團體諸如OURS等均在推動，但相關訴求亦難見於我國住宅政策之規劃，顯見營建署對於我國住宅政策研究調查之不足，亦欠缺與民間團體、學者專家進行充足之溝通與意見彙集。</w:t>
            </w:r>
          </w:p>
          <w:p w:rsidR="00A71D77" w:rsidRPr="002B1F93" w:rsidRDefault="007866B9" w:rsidP="007866B9">
            <w:pPr>
              <w:pStyle w:val="affe"/>
              <w:spacing w:line="400" w:lineRule="exact"/>
              <w:ind w:leftChars="103" w:left="292" w:firstLineChars="204" w:firstLine="578"/>
              <w:rPr>
                <w:sz w:val="28"/>
                <w:szCs w:val="28"/>
              </w:rPr>
            </w:pPr>
            <w:r w:rsidRPr="002B1F93">
              <w:rPr>
                <w:rFonts w:hint="eastAsia"/>
                <w:sz w:val="28"/>
                <w:szCs w:val="28"/>
              </w:rPr>
              <w:t>政府政策應合乎民眾所需，並有充足正確之決策資訊，營建署應積極落實住宅法第2條第2項之法定義務，且廣邀民間團體、學者專家，並以公聽會或相當措施，以及民意調查等方式廣納民意以利政策規劃符合民眾之所需，並修正相關政策措施。爰凍結100萬元，俟營建署向立法院內政委員會提出書面報告後，始得動支。</w:t>
            </w:r>
          </w:p>
        </w:tc>
      </w:tr>
      <w:tr w:rsidR="007866B9"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7.</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137893" w:rsidRPr="00E64288">
              <w:rPr>
                <w:rFonts w:hint="eastAsia"/>
                <w:sz w:val="28"/>
                <w:szCs w:val="28"/>
              </w:rPr>
              <w:t>內政委員會-歲出部分-</w:t>
            </w:r>
            <w:r w:rsidR="00A27C2A" w:rsidRPr="00E64288">
              <w:rPr>
                <w:rFonts w:hint="eastAsia"/>
                <w:sz w:val="28"/>
                <w:szCs w:val="28"/>
              </w:rPr>
              <w:t>內政部</w:t>
            </w:r>
            <w:r w:rsidR="00E864CC" w:rsidRPr="00E64288">
              <w:rPr>
                <w:rFonts w:hint="eastAsia"/>
                <w:sz w:val="28"/>
                <w:szCs w:val="28"/>
              </w:rPr>
              <w:t>主管-</w:t>
            </w:r>
            <w:r w:rsidR="00A27C2A" w:rsidRPr="00E64288">
              <w:rPr>
                <w:rFonts w:hint="eastAsia"/>
                <w:sz w:val="28"/>
                <w:szCs w:val="28"/>
              </w:rPr>
              <w:t>警政署及所屬</w:t>
            </w:r>
            <w:r w:rsidRPr="00E64288">
              <w:rPr>
                <w:rFonts w:hint="eastAsia"/>
                <w:sz w:val="28"/>
                <w:szCs w:val="28"/>
              </w:rPr>
              <w:t>】</w:t>
            </w:r>
          </w:p>
          <w:p w:rsidR="00A71D77" w:rsidRPr="00E64288" w:rsidRDefault="007866B9" w:rsidP="007866B9">
            <w:pPr>
              <w:pStyle w:val="affe"/>
              <w:spacing w:line="400" w:lineRule="exact"/>
              <w:ind w:left="283" w:hangingChars="100" w:hanging="283"/>
              <w:rPr>
                <w:sz w:val="28"/>
                <w:szCs w:val="28"/>
              </w:rPr>
            </w:pPr>
            <w:r w:rsidRPr="00E64288">
              <w:rPr>
                <w:rFonts w:hint="eastAsia"/>
                <w:sz w:val="28"/>
                <w:szCs w:val="28"/>
              </w:rPr>
              <w:t>(三十三)111年度警政署及所屬單位預算，有鑑於警察業務中家庭暴力防治、性別暴力、少年事件案件數屢屢上升，且未來預計將增加跟蹤騷擾防制及性私密影像保護之業務，家庭暴力防治、婦幼、少年之中央地方專責單位，宜建立嚴格證照制度、</w:t>
            </w:r>
            <w:r w:rsidRPr="00E64288">
              <w:rPr>
                <w:rFonts w:hint="eastAsia"/>
                <w:sz w:val="28"/>
                <w:szCs w:val="28"/>
              </w:rPr>
              <w:lastRenderedPageBreak/>
              <w:t>久任職務制度並適度提升職務列等人事制度改革：一、擔任家防婦幼少年專責單位職務者，應要求其受專業訓練認證，並適時定期重新訓練。二、前述職務應鼓勵久任，適度修正「警察人員陞遷辦法」第十六條有關職務輪調之規定，並考慮研修排除適用「公務人員退休資遣撫卹法」有關危勞職務提前退休之規定。三、前述職務應適度提升職等，比照現行各地方警察機關刑事、保安、交通大隊長，列警監四階職務。爰由警政署參照辦理，並就前述三點事項，於3個月內向立法院內政委員會提出書面報告。</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lastRenderedPageBreak/>
              <w:t>8.</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137893" w:rsidRPr="00E64288">
              <w:rPr>
                <w:rFonts w:hint="eastAsia"/>
                <w:sz w:val="28"/>
                <w:szCs w:val="28"/>
              </w:rPr>
              <w:t>內政委員會-歲出部分-</w:t>
            </w:r>
            <w:r w:rsidR="00A27C2A" w:rsidRPr="00E64288">
              <w:rPr>
                <w:rFonts w:hint="eastAsia"/>
                <w:sz w:val="28"/>
                <w:szCs w:val="28"/>
              </w:rPr>
              <w:t>內政部主管-警政署及所屬</w:t>
            </w:r>
            <w:r w:rsidRPr="00E64288">
              <w:rPr>
                <w:rFonts w:hint="eastAsia"/>
                <w:sz w:val="28"/>
                <w:szCs w:val="28"/>
              </w:rPr>
              <w:t>】</w:t>
            </w:r>
          </w:p>
          <w:p w:rsidR="00A71D77" w:rsidRPr="00E64288" w:rsidRDefault="007866B9" w:rsidP="007866B9">
            <w:pPr>
              <w:pStyle w:val="affe"/>
              <w:spacing w:line="400" w:lineRule="exact"/>
              <w:ind w:left="283" w:hangingChars="100" w:hanging="283"/>
              <w:rPr>
                <w:sz w:val="28"/>
                <w:szCs w:val="28"/>
              </w:rPr>
            </w:pPr>
            <w:r w:rsidRPr="00E64288">
              <w:rPr>
                <w:rFonts w:hint="eastAsia"/>
                <w:sz w:val="28"/>
                <w:szCs w:val="28"/>
              </w:rPr>
              <w:t>(一五二)有鑑於「跟蹤騷擾防制法」已於110年11月19日三讀通過，並將於今年六月開始施行，因三讀條文就跟蹤犯罪定義僅限「與性或性別」有關之行為，恐難以實現保護被害人之目的，且犯罪證據蒐集仍有執行上的困難，對於施行後之遏阻效果，外界仍有不少存疑，因跟蹤騷擾具備「發生率高」、「危險性高」、「恐懼性高」和「傷害性高」四大特徵，是婦女最大人身安全威脅之一，且每年跟蹤騷擾報案件數達7,600多件，政府應適時讓外界了解相關案件辦理情形及執行成效，以做為未來精進修法之參考。爰此，要求警政署應於網站成立「跟蹤騷擾防制專區」，並按季公告跟蹤騷擾案件成案與否件數、理由及相關辦理情形，以回應國人對強化婦女安全保障的期待。</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9.</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D82101" w:rsidRPr="00E64288">
              <w:rPr>
                <w:rFonts w:hint="eastAsia"/>
                <w:sz w:val="28"/>
                <w:szCs w:val="28"/>
              </w:rPr>
              <w:t>內政委員會-歲出部分-</w:t>
            </w:r>
            <w:r w:rsidR="00A27C2A" w:rsidRPr="00E64288">
              <w:rPr>
                <w:rFonts w:hint="eastAsia"/>
                <w:sz w:val="28"/>
                <w:szCs w:val="28"/>
              </w:rPr>
              <w:t>內政部</w:t>
            </w:r>
            <w:r w:rsidR="00E864CC" w:rsidRPr="00E64288">
              <w:rPr>
                <w:rFonts w:hint="eastAsia"/>
                <w:sz w:val="28"/>
                <w:szCs w:val="28"/>
              </w:rPr>
              <w:t>主管-</w:t>
            </w:r>
            <w:r w:rsidR="00A27C2A" w:rsidRPr="00E64288">
              <w:rPr>
                <w:rFonts w:hint="eastAsia"/>
                <w:sz w:val="28"/>
                <w:szCs w:val="28"/>
              </w:rPr>
              <w:t>移民署</w:t>
            </w:r>
            <w:r w:rsidRPr="00E64288">
              <w:rPr>
                <w:rFonts w:hint="eastAsia"/>
                <w:sz w:val="28"/>
                <w:szCs w:val="28"/>
              </w:rPr>
              <w:t>】</w:t>
            </w:r>
          </w:p>
          <w:p w:rsidR="00A71D77" w:rsidRPr="00E64288" w:rsidRDefault="007866B9" w:rsidP="00397617">
            <w:pPr>
              <w:pStyle w:val="affe"/>
              <w:spacing w:line="400" w:lineRule="exact"/>
              <w:ind w:left="283" w:hangingChars="100" w:hanging="283"/>
              <w:rPr>
                <w:sz w:val="28"/>
                <w:szCs w:val="28"/>
              </w:rPr>
            </w:pPr>
            <w:r w:rsidRPr="00E64288">
              <w:rPr>
                <w:rFonts w:hint="eastAsia"/>
                <w:sz w:val="28"/>
                <w:szCs w:val="28"/>
              </w:rPr>
              <w:t>(十)監察院於108年針對未落實處理外籍移工子女身分權益、性別工作平等法對懷孕移工政策難以落實，通過糾正行政院、移民署及勞動部，其中指出移民署研訂對外籍移工子女身分問題的處理流程與現實脫節；然依監察院調查發現，2007年1月1日至2020年6月30日非本國籍曾經失聯移工的兒童及少年（黑戶寶寶）總數計933名，惟檢視政府對懷孕移工之相關協助措施，看得到卻用不到，因大部分雇主不願聘用懷孕移工，懷孕移工因無勞役，無法申請生育給付，沒有待產處所，也養不起孩子，只好選擇「逃逸」，而產下的子女就成為沒有身分、沒有健保，無法就醫、安置的「黑戶寶寶」，該非婚生子女就成為非法移民。為解決外籍移工黑戶寶寶長期問題，爰要求內政部及移民署除應就監察院糾正事項提出目前辦理進度外，亦需就懷孕移工身分登錄及懷孕期間行蹤，制定具體管理規範，並於2個月內向立法院內政委員會提出書面報告。</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10.</w:t>
            </w:r>
          </w:p>
        </w:tc>
        <w:tc>
          <w:tcPr>
            <w:tcW w:w="7947" w:type="dxa"/>
            <w:shd w:val="clear" w:color="auto" w:fill="auto"/>
          </w:tcPr>
          <w:p w:rsidR="00A71D77" w:rsidRPr="002B1F93" w:rsidRDefault="00A71D77" w:rsidP="00FF7DDF">
            <w:pPr>
              <w:pStyle w:val="affe"/>
              <w:spacing w:line="400" w:lineRule="exact"/>
              <w:ind w:leftChars="-35" w:left="247" w:hangingChars="122" w:hanging="346"/>
              <w:rPr>
                <w:rFonts w:hint="eastAsia"/>
                <w:sz w:val="28"/>
                <w:szCs w:val="28"/>
              </w:rPr>
            </w:pPr>
            <w:r w:rsidRPr="002B1F93">
              <w:rPr>
                <w:rFonts w:hint="eastAsia"/>
                <w:sz w:val="28"/>
                <w:szCs w:val="28"/>
              </w:rPr>
              <w:t>【</w:t>
            </w:r>
            <w:r w:rsidR="00D82101" w:rsidRPr="002B1F93">
              <w:rPr>
                <w:rFonts w:hint="eastAsia"/>
                <w:sz w:val="28"/>
                <w:szCs w:val="28"/>
              </w:rPr>
              <w:t>內政委員會-歲出部分-</w:t>
            </w:r>
            <w:r w:rsidR="00A27C2A" w:rsidRPr="002B1F93">
              <w:rPr>
                <w:rFonts w:hint="eastAsia"/>
                <w:sz w:val="28"/>
                <w:szCs w:val="28"/>
              </w:rPr>
              <w:t>內政部主管-移民署</w:t>
            </w:r>
            <w:r w:rsidRPr="002B1F93">
              <w:rPr>
                <w:rFonts w:hint="eastAsia"/>
                <w:sz w:val="28"/>
                <w:szCs w:val="28"/>
              </w:rPr>
              <w:t>】</w:t>
            </w:r>
          </w:p>
          <w:p w:rsidR="00A71D77" w:rsidRPr="002B1F93" w:rsidRDefault="007866B9" w:rsidP="007866B9">
            <w:pPr>
              <w:pStyle w:val="affe"/>
              <w:spacing w:line="400" w:lineRule="exact"/>
              <w:ind w:left="283" w:hangingChars="100" w:hanging="283"/>
              <w:rPr>
                <w:sz w:val="28"/>
                <w:szCs w:val="28"/>
              </w:rPr>
            </w:pPr>
            <w:r w:rsidRPr="002B1F93">
              <w:rPr>
                <w:rFonts w:hint="eastAsia"/>
                <w:sz w:val="28"/>
                <w:szCs w:val="28"/>
              </w:rPr>
              <w:t>(三十四)移民署111年度中央政府總預算於「入出國及移民管理業務」編列共計13億0,593萬5千元，係屬辦理執行入出國政策、入出國管制、督導聯繫及輔導協助並落實入出國管理、外來人口訪查及查處、收容管理及遣送(返)等業務。然參據近年在臺出生非本國籍無依新生兒情形，今年截至7月底止已有69人，恐有逐年增長態勢。爰此，鑒於移民署應跨部會共同推動預防輔導措施，以減少非本國籍無依兒少情形，並保障移工孕母與子之權益，故請移民署向立法院內政委員會提出書面報告。</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11.</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A27C2A" w:rsidRPr="00E64288">
              <w:rPr>
                <w:rFonts w:hint="eastAsia"/>
                <w:sz w:val="28"/>
                <w:szCs w:val="28"/>
              </w:rPr>
              <w:t>外交及國防委員會-歲出部分-國防部主管-國防部</w:t>
            </w:r>
            <w:r w:rsidRPr="00E64288">
              <w:rPr>
                <w:rFonts w:hint="eastAsia"/>
                <w:sz w:val="28"/>
                <w:szCs w:val="28"/>
              </w:rPr>
              <w:t>】</w:t>
            </w:r>
          </w:p>
          <w:p w:rsidR="00A71D77" w:rsidRPr="00E64288" w:rsidRDefault="00A27C2A" w:rsidP="00397617">
            <w:pPr>
              <w:pStyle w:val="affe"/>
              <w:spacing w:line="400" w:lineRule="exact"/>
              <w:ind w:left="283" w:hangingChars="100" w:hanging="283"/>
              <w:rPr>
                <w:sz w:val="28"/>
                <w:szCs w:val="28"/>
              </w:rPr>
            </w:pPr>
            <w:r w:rsidRPr="00E64288">
              <w:rPr>
                <w:rFonts w:hint="eastAsia"/>
                <w:sz w:val="28"/>
                <w:szCs w:val="28"/>
              </w:rPr>
              <w:t>(九)國防部於111年度編列2,945萬6千元辦理國防資源管理，包含辦理兵役政策業務、兵役行政、軍人保險監理會、推動性別平等、環境保護、財產及文化資產管理、職業安全衛生、列管軍品級別認證評鑑、資源釋商、人維、作維及施政計畫、產合會報。查有關國軍性別平等文宣成效，110年第三季統計數量達153則，其中青年日報高達77則，但細究新聞標題與內文資訊卻無法知悉與打破性別刻板印象有何關聯性，更遑論該篇內容如何達宣導成效，將之歸類為性別平等文宣成效恐有濫竽充數之嫌，國防部應檢討新聞報導收錄為性別平等文宣之標準。次查109年國防部性別主流化成果報告有關性平議題研究情形，透過業務研究機制，鼓勵或指定各司令部及相關業務承辦人員、各軍事學校，進行性別議題研究，預期研究成果，運用於政策參考。惟報告內容僅列完成研究項目，並未具體說明如何運用於政策上。此外，性別主流化成果報告內容，無論是文宣、活動宣導、宣導講座，與相關研究等，皆著重於性別平權、性侵害、性騷擾等議題，但隨著台灣成為亞洲第一個同性婚姻合法化的國家，國防部應增加多元性別教育訓練與活動宣導，以建立友善多元性別環境。爰針對111年度國防部本部第2目「國防政策規劃與督導」項下「國防資源管理」中「業務費」之「物品」預算編列220萬6千元，凍結30萬元，俟國防部向立法院外交及國防委員會提出書面報告並經同意後，始得動支。</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12.</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A27C2A" w:rsidRPr="00E64288">
              <w:rPr>
                <w:rFonts w:hint="eastAsia"/>
                <w:sz w:val="28"/>
                <w:szCs w:val="28"/>
              </w:rPr>
              <w:t>外交及國防委員會-歲出部分-國防部主管-國防部</w:t>
            </w:r>
            <w:r w:rsidRPr="00E64288">
              <w:rPr>
                <w:rFonts w:hint="eastAsia"/>
                <w:sz w:val="28"/>
                <w:szCs w:val="28"/>
              </w:rPr>
              <w:t>】</w:t>
            </w:r>
          </w:p>
          <w:p w:rsidR="00A71D77" w:rsidRPr="00E64288" w:rsidRDefault="00A27C2A" w:rsidP="00A27C2A">
            <w:pPr>
              <w:pStyle w:val="affe"/>
              <w:spacing w:line="400" w:lineRule="exact"/>
              <w:ind w:left="283" w:hangingChars="100" w:hanging="283"/>
              <w:rPr>
                <w:sz w:val="28"/>
                <w:szCs w:val="28"/>
              </w:rPr>
            </w:pPr>
            <w:r w:rsidRPr="00E64288">
              <w:rPr>
                <w:rFonts w:hint="eastAsia"/>
                <w:sz w:val="28"/>
                <w:szCs w:val="28"/>
              </w:rPr>
              <w:t>(十九)111年度國防部第2目「國防政策規劃與督導」項下「督察作業」中「業務費」預算編列1,870萬7千元。惟查陸軍馬祖防衛指揮部士官爆發妨害性自主事件，營區性侵女兵重大軍紀案件，總督察長室為軍風紀維護主管單位，應強化官兵崇法守紀觀念。爰針對國防部第2目「國防政策規劃與督導」項下「督察作業」中「業務費」預算編列1,870萬7千元，凍結200萬元，國防部應審慎檢討相關缺失，研議精進方案，向立法院外交及國防委員會提出書面報告並經同意後，始得動支。</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13.</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A27C2A" w:rsidRPr="00E64288">
              <w:rPr>
                <w:rFonts w:hint="eastAsia"/>
                <w:sz w:val="28"/>
                <w:szCs w:val="28"/>
              </w:rPr>
              <w:t>外交及國防委員會-歲出部分-國防部主管-國防部</w:t>
            </w:r>
            <w:r w:rsidRPr="00E64288">
              <w:rPr>
                <w:rFonts w:hint="eastAsia"/>
                <w:sz w:val="28"/>
                <w:szCs w:val="28"/>
              </w:rPr>
              <w:t>】</w:t>
            </w:r>
          </w:p>
          <w:p w:rsidR="00A71D77" w:rsidRPr="00E64288" w:rsidRDefault="00A27C2A" w:rsidP="00A27C2A">
            <w:pPr>
              <w:pStyle w:val="affe"/>
              <w:spacing w:line="400" w:lineRule="exact"/>
              <w:ind w:left="283" w:hangingChars="100" w:hanging="283"/>
              <w:rPr>
                <w:sz w:val="28"/>
                <w:szCs w:val="28"/>
              </w:rPr>
            </w:pPr>
            <w:r w:rsidRPr="00E64288">
              <w:rPr>
                <w:rFonts w:hint="eastAsia"/>
                <w:sz w:val="28"/>
                <w:szCs w:val="28"/>
              </w:rPr>
              <w:t>(四十八)國防部歲出工作計畫「國防政策規劃與督導」項下「國防資源管理」之「業務費」編列2,779萬4千元，業務內容包括「辦理兵役政策業務、兵役行政、推動性別平等」，因配合111年度成立「全民防衛動員署」而大幅增加後備動員之際，卻忽略現存女性退伍軍職人員納編後備人力之不公平及權利義務差異化的現象，而此種現象已發現多年，迄今仍未改善，實因國防部內部法制作業不夠積極所致，國防部應盡快完成法制相關之修法作業。</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14.</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A27C2A" w:rsidRPr="00E64288">
              <w:rPr>
                <w:rFonts w:hint="eastAsia"/>
                <w:sz w:val="28"/>
                <w:szCs w:val="28"/>
              </w:rPr>
              <w:t>外交及國防委員會-歲出部分-國防部主管-國防部</w:t>
            </w:r>
            <w:r w:rsidR="00026555">
              <w:rPr>
                <w:rFonts w:hint="eastAsia"/>
                <w:sz w:val="28"/>
                <w:szCs w:val="28"/>
              </w:rPr>
              <w:t>所屬</w:t>
            </w:r>
            <w:r w:rsidRPr="00E64288">
              <w:rPr>
                <w:rFonts w:hint="eastAsia"/>
                <w:sz w:val="28"/>
                <w:szCs w:val="28"/>
              </w:rPr>
              <w:t>】</w:t>
            </w:r>
          </w:p>
          <w:p w:rsidR="0087600A" w:rsidRPr="00E64288" w:rsidRDefault="00A27C2A" w:rsidP="00A27C2A">
            <w:pPr>
              <w:pStyle w:val="affe"/>
              <w:spacing w:line="400" w:lineRule="exact"/>
              <w:ind w:left="283" w:hangingChars="100" w:hanging="283"/>
              <w:rPr>
                <w:sz w:val="28"/>
                <w:szCs w:val="28"/>
              </w:rPr>
            </w:pPr>
            <w:r w:rsidRPr="00E64288">
              <w:rPr>
                <w:rFonts w:hint="eastAsia"/>
                <w:sz w:val="28"/>
                <w:szCs w:val="28"/>
              </w:rPr>
              <w:t>(五十二)有鑑於海軍司令部近日發生違反兩性關係案件，第一時間處置有失公平性，顯見兩性平等專家諮詢及相關會議成效不彰，且111年度預算編列307萬9千元，較110年度預算263萬7千元增加44萬2千元。為嚴格監督國防預算管理與財政紀律，爰針對國防部海軍司令部第1目「軍事行政」項下「人事行政」中「業務費」之「按日按件計資酬金」預算編列307萬9千元，凍結100萬元，俟國防部向立法院外交及國防委員會提出書面報告並經同意後，始得動支。</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15.</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A27C2A" w:rsidRPr="00E64288">
              <w:rPr>
                <w:rFonts w:hint="eastAsia"/>
                <w:sz w:val="28"/>
                <w:szCs w:val="28"/>
              </w:rPr>
              <w:t>外交及國防委員會-歲出部分-國防部主管-國防部</w:t>
            </w:r>
            <w:r w:rsidR="00026555" w:rsidRPr="00026555">
              <w:rPr>
                <w:rFonts w:hint="eastAsia"/>
                <w:sz w:val="28"/>
                <w:szCs w:val="28"/>
              </w:rPr>
              <w:t>所屬</w:t>
            </w:r>
            <w:r w:rsidRPr="00E64288">
              <w:rPr>
                <w:rFonts w:hint="eastAsia"/>
                <w:sz w:val="28"/>
                <w:szCs w:val="28"/>
              </w:rPr>
              <w:t>】</w:t>
            </w:r>
          </w:p>
          <w:p w:rsidR="00A71D77" w:rsidRPr="00E64288" w:rsidRDefault="00A27C2A" w:rsidP="00A27C2A">
            <w:pPr>
              <w:pStyle w:val="affe"/>
              <w:spacing w:line="400" w:lineRule="exact"/>
              <w:ind w:left="283" w:hangingChars="100" w:hanging="283"/>
              <w:rPr>
                <w:sz w:val="28"/>
                <w:szCs w:val="28"/>
              </w:rPr>
            </w:pPr>
            <w:r w:rsidRPr="00E64288">
              <w:rPr>
                <w:rFonts w:hint="eastAsia"/>
                <w:sz w:val="28"/>
                <w:szCs w:val="28"/>
              </w:rPr>
              <w:t>(一一八)查國防部統計女性官士兵比率已達到15.6%，於陸海空三軍中，又以空軍的女性比率最高，達18.2%，海軍與陸軍分別13.9%、14.2%。若以階級來分，軍官、士官、士兵則分別為14.7%、16.7%、14.5%。上校以上的高階軍官，女性占4.9%。空軍女性比率最高，亦有分析認為是因為有大量的專業人員，例如航太地勤、氣象台及後勤單位，地勤人員在空軍基地工作固定，若將軍種與階級交叉分析，則空軍越高階則女性比率則三軍最低，空軍司令部應檢討人事晉升制度，以建立友善性別職場。爰針對國防部空軍司令部第1目「軍事行政」項下「人事行政」中「業務費」預算編列3,946萬7千元，凍結100萬元，俟國防部向立法院外交及國防委員會提出書面報告並經同意後，始得動支。</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16.</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A27C2A" w:rsidRPr="00E64288">
              <w:rPr>
                <w:rFonts w:hint="eastAsia"/>
                <w:sz w:val="28"/>
                <w:szCs w:val="28"/>
              </w:rPr>
              <w:t>外交及國防委員會-歲出部分-國防部主管-國防部</w:t>
            </w:r>
            <w:r w:rsidR="00026555" w:rsidRPr="00026555">
              <w:rPr>
                <w:rFonts w:hint="eastAsia"/>
                <w:sz w:val="28"/>
                <w:szCs w:val="28"/>
              </w:rPr>
              <w:t>所屬</w:t>
            </w:r>
            <w:r w:rsidRPr="00E64288">
              <w:rPr>
                <w:rFonts w:hint="eastAsia"/>
                <w:sz w:val="28"/>
                <w:szCs w:val="28"/>
              </w:rPr>
              <w:t>】</w:t>
            </w:r>
          </w:p>
          <w:p w:rsidR="00A71D77" w:rsidRPr="00E64288" w:rsidRDefault="00A27C2A" w:rsidP="00A27C2A">
            <w:pPr>
              <w:pStyle w:val="affe"/>
              <w:spacing w:line="400" w:lineRule="exact"/>
              <w:ind w:left="283" w:hangingChars="100" w:hanging="283"/>
              <w:rPr>
                <w:sz w:val="28"/>
                <w:szCs w:val="28"/>
              </w:rPr>
            </w:pPr>
            <w:r w:rsidRPr="00E64288">
              <w:rPr>
                <w:rFonts w:hint="eastAsia"/>
                <w:sz w:val="28"/>
                <w:szCs w:val="28"/>
              </w:rPr>
              <w:t>(二一八)多元性別者長期以來面對社會的偏見與壓迫，在陽剛的軍隊文化中，多元性別者承受更大的困擾。據查軍隊中的心輔人員多半出身國防大學政戰學院心理及社工學系，檢視其必選修課程，均無多元文化或性別觀點認識和訓練。爰針對國防部國防大學第3目「教育訓練業務」項下「教育行政」中「業務費」預算編列1億7,013萬3千元，凍結100萬元，俟國防部檢討並增加全校通識課程及心理及社工學系之必選修有關多元性別課程規劃，向立法院外交及國防委員會提出書面報告並經同意後，始得動支。</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17.</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A27C2A" w:rsidRPr="00E64288">
              <w:rPr>
                <w:rFonts w:hint="eastAsia"/>
                <w:sz w:val="28"/>
                <w:szCs w:val="28"/>
              </w:rPr>
              <w:t>外交及國防委員會-歲出部分-國防部主管-國防部</w:t>
            </w:r>
            <w:r w:rsidR="00026555" w:rsidRPr="00026555">
              <w:rPr>
                <w:rFonts w:hint="eastAsia"/>
                <w:sz w:val="28"/>
                <w:szCs w:val="28"/>
              </w:rPr>
              <w:t>所屬</w:t>
            </w:r>
            <w:r w:rsidRPr="00E64288">
              <w:rPr>
                <w:rFonts w:hint="eastAsia"/>
                <w:sz w:val="28"/>
                <w:szCs w:val="28"/>
              </w:rPr>
              <w:t>】</w:t>
            </w:r>
          </w:p>
          <w:p w:rsidR="00A71D77" w:rsidRPr="00E64288" w:rsidRDefault="00A27C2A" w:rsidP="00731E0C">
            <w:pPr>
              <w:pStyle w:val="affe"/>
              <w:spacing w:line="400" w:lineRule="exact"/>
              <w:ind w:left="283" w:hangingChars="100" w:hanging="283"/>
              <w:rPr>
                <w:sz w:val="28"/>
                <w:szCs w:val="28"/>
              </w:rPr>
            </w:pPr>
            <w:r w:rsidRPr="00E64288">
              <w:rPr>
                <w:rFonts w:hint="eastAsia"/>
                <w:sz w:val="28"/>
                <w:szCs w:val="28"/>
              </w:rPr>
              <w:t>(二七四)目前女性軍、士官依陸海空軍軍官士官服役條例第55條規定，預備役依志願服之，故女性軍、士官依志願選擇是否接受後備管理。女性士兵則依志願士兵服役條例第2條與兵役法第27條規定，常備兵在現役期間退伍者應受後備管理，故女性士兵比照男性士兵強制接受後備管理。儘管編管作法不同，女性軍官、士官、士兵不論是否接受後備管理，實務上均不需接受教召訓練，造成教召制度不公平現象。對此，國防部曾於108年提供書面資料表示未來規劃修訂陸海空軍軍官士官服役條例第55條及增訂志願士兵服役條例第15條之1，朝女性軍官、士官、士兵均應受後備軍人管理方向辦理。時任部長嚴德發亦於109年10月22日於立法院外交及國防委員會備詢時回覆，「女性志願役戰力較軍事訓練役強」。為追求性別平等及戰力極大化，請國防部完成經停役、退伍或解除召集之女性軍官、士官、士兵接受後備管理之修法提案與實施教召規劃，並將書面報告送交立法院外交及國防委員會。</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18.</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A27C2A" w:rsidRPr="00E64288">
              <w:rPr>
                <w:rFonts w:hint="eastAsia"/>
                <w:sz w:val="28"/>
                <w:szCs w:val="28"/>
              </w:rPr>
              <w:t>外交及國防委員會-歲出部分-國防部主管-國防部</w:t>
            </w:r>
            <w:r w:rsidR="00026555" w:rsidRPr="00026555">
              <w:rPr>
                <w:rFonts w:hint="eastAsia"/>
                <w:sz w:val="28"/>
                <w:szCs w:val="28"/>
              </w:rPr>
              <w:t>所屬</w:t>
            </w:r>
            <w:r w:rsidRPr="00E64288">
              <w:rPr>
                <w:rFonts w:hint="eastAsia"/>
                <w:sz w:val="28"/>
                <w:szCs w:val="28"/>
              </w:rPr>
              <w:t>】</w:t>
            </w:r>
          </w:p>
          <w:p w:rsidR="00A71D77" w:rsidRPr="00E64288" w:rsidRDefault="00731E0C" w:rsidP="007A580B">
            <w:pPr>
              <w:pStyle w:val="affe"/>
              <w:spacing w:line="400" w:lineRule="exact"/>
              <w:ind w:left="283" w:hangingChars="100" w:hanging="283"/>
              <w:rPr>
                <w:sz w:val="28"/>
                <w:szCs w:val="28"/>
              </w:rPr>
            </w:pPr>
            <w:r w:rsidRPr="00E64288">
              <w:rPr>
                <w:rFonts w:hint="eastAsia"/>
                <w:sz w:val="28"/>
                <w:szCs w:val="28"/>
              </w:rPr>
              <w:t>(四三一)因應兩岸情勢升溫，急需整備國軍人力，國防部預計自2022年起，教召採新舊制併行，部分人員調整為「年年施訓、每次14天」；據統計，我國長期缺乏後備部隊幹部，每年教召有超過30%以上人員是以「專長充代」或「專長適用」等方式選充；又，考量南韓後備軍役政策規劃中，鼓勵18歲以上的女性公民自願加入後備軍，南韓國防部組織動員志願婦女進行軍隊訓練、協助醫療救援，或是投入社區服務。爰請國防部與內政部役政署研議未來將如何補足適任的國軍後備人力，並參考南韓政策研議提升我國女性軍備人力之可能性，因應國情考量鼓勵更多國民加入國軍後備戰力及訓練，達到全民皆兵之理念，共同維護台灣國防安全。請國防部於3個月內向立法院外交及國防委員會提出書面報告。</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19.</w:t>
            </w:r>
          </w:p>
        </w:tc>
        <w:tc>
          <w:tcPr>
            <w:tcW w:w="7947" w:type="dxa"/>
            <w:shd w:val="clear" w:color="auto" w:fill="auto"/>
          </w:tcPr>
          <w:p w:rsidR="00CF6DF8" w:rsidRPr="00E64288" w:rsidRDefault="00CF6DF8" w:rsidP="00CF6DF8">
            <w:pPr>
              <w:pStyle w:val="affe"/>
              <w:spacing w:line="400" w:lineRule="exact"/>
              <w:ind w:leftChars="-35" w:left="247" w:hangingChars="122" w:hanging="346"/>
              <w:rPr>
                <w:rFonts w:hint="eastAsia"/>
                <w:sz w:val="28"/>
                <w:szCs w:val="28"/>
              </w:rPr>
            </w:pPr>
            <w:r w:rsidRPr="00E64288">
              <w:rPr>
                <w:rFonts w:hint="eastAsia"/>
                <w:sz w:val="28"/>
                <w:szCs w:val="28"/>
              </w:rPr>
              <w:t>【經濟委員會-歲出部分-行政院主管-國家發展委員會】</w:t>
            </w:r>
          </w:p>
          <w:p w:rsidR="00A71D77" w:rsidRPr="00E64288" w:rsidRDefault="00CF6DF8" w:rsidP="00397617">
            <w:pPr>
              <w:pStyle w:val="affe"/>
              <w:spacing w:line="400" w:lineRule="exact"/>
              <w:ind w:left="283" w:hangingChars="100" w:hanging="283"/>
              <w:rPr>
                <w:rFonts w:hint="eastAsia"/>
                <w:sz w:val="28"/>
                <w:szCs w:val="28"/>
              </w:rPr>
            </w:pPr>
            <w:r w:rsidRPr="00E64288">
              <w:rPr>
                <w:rFonts w:hint="eastAsia"/>
                <w:sz w:val="28"/>
                <w:szCs w:val="28"/>
              </w:rPr>
              <w:t>(五十九)111年度國家發展委員會預算案於「促進人力資源發展」編列共計2,316萬4千元，係屬辦理研擬及協調推動人口相關政策、辦理人口與人力資源相關推估、培育及留用我國人人才、促進就業與勞動政策之規劃與推動。鑑於女性人力在勞動市場占重要地位，且背後亦負擔育兒養兒的經濟壓力。爰此，請國家發展委員會將女性勞動力參與率納入人口及人力政策考量，提出書面報告送立法院經濟委員會。</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20.</w:t>
            </w:r>
          </w:p>
        </w:tc>
        <w:tc>
          <w:tcPr>
            <w:tcW w:w="7947" w:type="dxa"/>
            <w:shd w:val="clear" w:color="auto" w:fill="auto"/>
          </w:tcPr>
          <w:p w:rsidR="00A71D77" w:rsidRPr="00E64288" w:rsidRDefault="00CF6DF8" w:rsidP="00FF7DDF">
            <w:pPr>
              <w:pStyle w:val="affe"/>
              <w:spacing w:line="400" w:lineRule="exact"/>
              <w:ind w:leftChars="-35" w:left="247" w:hangingChars="122" w:hanging="346"/>
              <w:rPr>
                <w:rFonts w:hint="eastAsia"/>
                <w:sz w:val="28"/>
                <w:szCs w:val="28"/>
              </w:rPr>
            </w:pPr>
            <w:r w:rsidRPr="00E64288">
              <w:rPr>
                <w:rFonts w:hint="eastAsia"/>
                <w:sz w:val="28"/>
                <w:szCs w:val="28"/>
              </w:rPr>
              <w:t>【教育及文化委員會-歲出部分-總統府主管-中央研究院】</w:t>
            </w:r>
          </w:p>
          <w:p w:rsidR="00A71D77" w:rsidRPr="00E64288" w:rsidRDefault="009716C1" w:rsidP="00D60CB6">
            <w:pPr>
              <w:pStyle w:val="affe"/>
              <w:spacing w:line="400" w:lineRule="exact"/>
              <w:ind w:left="258" w:hanging="258"/>
              <w:rPr>
                <w:sz w:val="28"/>
                <w:szCs w:val="28"/>
              </w:rPr>
            </w:pPr>
            <w:r w:rsidRPr="00E64288">
              <w:rPr>
                <w:rFonts w:hint="eastAsia"/>
                <w:sz w:val="28"/>
                <w:szCs w:val="28"/>
              </w:rPr>
              <w:t>(十三)根據中央研究院2021年9月14日更新之「中央研究院編制內人員性別統計表」顯示，中研院研究人員、研究技術人員與行政、技術人員之性別人數，分別為男性774人、女性469人，性別比為165。進一步檢視數據，可看出中研院內部存在「高階研究人員男性較多、基礎行政技術人員女性較多」之現象。雖不能單以數字斷定中研院內部存在玻璃天花板，但仍可指出女性在研究職涯發展中，可能因顧及家庭等因素，被迫中斷研究，而使得女性難以向上晉升。中研院已有訂定性別友善之相關措施，例如：設置托嬰中心、女性研究員有生育事實者可延長計畫年限等。惟當前中研院性別比嚴重失衡亦屬事實，為追求性別平權，消除女性研究人員職涯發展之限制，爰要求中央研究院應隨時改善精進性別友善之措施，並廣泛徵詢職員之意見，了解職員需求，並於2個月內向立法院教育及文化委員會提出相關書面報告。</w:t>
            </w:r>
          </w:p>
          <w:tbl>
            <w:tblPr>
              <w:tblW w:w="0" w:type="auto"/>
              <w:tblInd w:w="333" w:type="dxa"/>
              <w:tblBorders>
                <w:left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2268"/>
              <w:gridCol w:w="1701"/>
              <w:gridCol w:w="1134"/>
              <w:gridCol w:w="1134"/>
            </w:tblGrid>
            <w:tr w:rsidR="002D2AED" w:rsidRPr="00E64288" w:rsidTr="009716C1">
              <w:trPr>
                <w:trHeight w:val="20"/>
              </w:trPr>
              <w:tc>
                <w:tcPr>
                  <w:tcW w:w="6237" w:type="dxa"/>
                  <w:gridSpan w:val="4"/>
                  <w:tcBorders>
                    <w:top w:val="nil"/>
                    <w:left w:val="nil"/>
                    <w:bottom w:val="single" w:sz="12" w:space="0" w:color="auto"/>
                    <w:right w:val="nil"/>
                  </w:tcBorders>
                  <w:hideMark/>
                </w:tcPr>
                <w:p w:rsidR="009716C1" w:rsidRPr="00E64288" w:rsidRDefault="009716C1" w:rsidP="009716C1">
                  <w:pPr>
                    <w:snapToGrid w:val="0"/>
                    <w:spacing w:before="105" w:after="105" w:line="240" w:lineRule="exact"/>
                    <w:ind w:leftChars="120" w:left="4450" w:hangingChars="1450" w:hanging="4110"/>
                    <w:textAlignment w:val="center"/>
                    <w:rPr>
                      <w:rFonts w:hAnsi="標楷體"/>
                      <w:snapToGrid/>
                    </w:rPr>
                  </w:pPr>
                  <w:bookmarkStart w:id="17" w:name="TA2253795"/>
                  <w:bookmarkEnd w:id="17"/>
                  <w:r w:rsidRPr="00E64288">
                    <w:rPr>
                      <w:rFonts w:hAnsi="標楷體" w:hint="eastAsia"/>
                      <w:snapToGrid/>
                    </w:rPr>
                    <w:t>中央研究院編制內人員性別統計表 (單位：人）</w:t>
                  </w:r>
                </w:p>
              </w:tc>
            </w:tr>
            <w:tr w:rsidR="002D2AED" w:rsidRPr="00E64288" w:rsidTr="009716C1">
              <w:trPr>
                <w:trHeight w:val="20"/>
              </w:trPr>
              <w:tc>
                <w:tcPr>
                  <w:tcW w:w="2268" w:type="dxa"/>
                  <w:tcBorders>
                    <w:top w:val="single" w:sz="12" w:space="0" w:color="auto"/>
                    <w:left w:val="single" w:sz="12"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center"/>
                    <w:rPr>
                      <w:rFonts w:hAnsi="標楷體" w:hint="eastAsia"/>
                      <w:snapToGrid/>
                    </w:rPr>
                  </w:pPr>
                  <w:r w:rsidRPr="006450E7">
                    <w:rPr>
                      <w:rFonts w:hAnsi="標楷體" w:hint="eastAsia"/>
                      <w:snapToGrid/>
                    </w:rPr>
                    <w:t>分類</w:t>
                  </w:r>
                </w:p>
              </w:tc>
              <w:tc>
                <w:tcPr>
                  <w:tcW w:w="1701" w:type="dxa"/>
                  <w:tcBorders>
                    <w:top w:val="single" w:sz="12"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center"/>
                    <w:rPr>
                      <w:rFonts w:hAnsi="標楷體" w:hint="eastAsia"/>
                      <w:snapToGrid/>
                    </w:rPr>
                  </w:pPr>
                  <w:r w:rsidRPr="006450E7">
                    <w:rPr>
                      <w:rFonts w:hAnsi="標楷體" w:hint="eastAsia"/>
                      <w:snapToGrid/>
                    </w:rPr>
                    <w:t>職級</w:t>
                  </w:r>
                </w:p>
              </w:tc>
              <w:tc>
                <w:tcPr>
                  <w:tcW w:w="1134" w:type="dxa"/>
                  <w:tcBorders>
                    <w:top w:val="single" w:sz="12"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center"/>
                    <w:rPr>
                      <w:rFonts w:hAnsi="標楷體" w:hint="eastAsia"/>
                      <w:snapToGrid/>
                    </w:rPr>
                  </w:pPr>
                  <w:r w:rsidRPr="006450E7">
                    <w:rPr>
                      <w:rFonts w:hAnsi="標楷體" w:hint="eastAsia"/>
                      <w:snapToGrid/>
                    </w:rPr>
                    <w:t>男</w:t>
                  </w:r>
                </w:p>
              </w:tc>
              <w:tc>
                <w:tcPr>
                  <w:tcW w:w="1134" w:type="dxa"/>
                  <w:tcBorders>
                    <w:top w:val="single" w:sz="12" w:space="0" w:color="auto"/>
                    <w:left w:val="single" w:sz="4" w:space="0" w:color="auto"/>
                    <w:bottom w:val="single" w:sz="4" w:space="0" w:color="auto"/>
                    <w:right w:val="single" w:sz="12"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center"/>
                    <w:rPr>
                      <w:rFonts w:hAnsi="標楷體" w:hint="eastAsia"/>
                      <w:snapToGrid/>
                    </w:rPr>
                  </w:pPr>
                  <w:r w:rsidRPr="006450E7">
                    <w:rPr>
                      <w:rFonts w:hAnsi="標楷體" w:hint="eastAsia"/>
                      <w:snapToGrid/>
                    </w:rPr>
                    <w:t>女</w:t>
                  </w:r>
                </w:p>
              </w:tc>
            </w:tr>
            <w:tr w:rsidR="002D2AED" w:rsidRPr="00E64288" w:rsidTr="009716C1">
              <w:trPr>
                <w:trHeight w:val="42"/>
              </w:trPr>
              <w:tc>
                <w:tcPr>
                  <w:tcW w:w="2268" w:type="dxa"/>
                  <w:tcBorders>
                    <w:top w:val="single" w:sz="4" w:space="0" w:color="auto"/>
                    <w:left w:val="single" w:sz="12"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研究人員</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特聘研究員</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73</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28</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研究員</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243</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64</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副研究員</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163</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7</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助研究員</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103</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56</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研究助理</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19</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26</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助理</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1</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0</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小計</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602</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248</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研究技術人員</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研究技師</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25</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11</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研究副技師</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23</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12</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研究助技師</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26</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11</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技術助理</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2</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0</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小計</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76</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34</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行政、技術人員</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簡任</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11</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28</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薦任</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75</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139</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委任</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10</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20</w:t>
                  </w:r>
                </w:p>
              </w:tc>
            </w:tr>
            <w:tr w:rsidR="002D2AED" w:rsidRPr="00E64288" w:rsidTr="009716C1">
              <w:trPr>
                <w:trHeight w:val="20"/>
              </w:trPr>
              <w:tc>
                <w:tcPr>
                  <w:tcW w:w="2268" w:type="dxa"/>
                  <w:tcBorders>
                    <w:top w:val="single" w:sz="4" w:space="0" w:color="auto"/>
                    <w:left w:val="single" w:sz="12" w:space="0" w:color="auto"/>
                    <w:bottom w:val="single" w:sz="4"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小計</w:t>
                  </w:r>
                </w:p>
              </w:tc>
              <w:tc>
                <w:tcPr>
                  <w:tcW w:w="1134" w:type="dxa"/>
                  <w:tcBorders>
                    <w:top w:val="single" w:sz="4" w:space="0" w:color="auto"/>
                    <w:left w:val="single" w:sz="4" w:space="0" w:color="auto"/>
                    <w:bottom w:val="single" w:sz="4"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96</w:t>
                  </w:r>
                </w:p>
              </w:tc>
              <w:tc>
                <w:tcPr>
                  <w:tcW w:w="1134" w:type="dxa"/>
                  <w:tcBorders>
                    <w:top w:val="single" w:sz="4" w:space="0" w:color="auto"/>
                    <w:left w:val="single" w:sz="4" w:space="0" w:color="auto"/>
                    <w:bottom w:val="single" w:sz="4"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187</w:t>
                  </w:r>
                </w:p>
              </w:tc>
            </w:tr>
            <w:tr w:rsidR="002D2AED" w:rsidRPr="00E64288" w:rsidTr="009716C1">
              <w:trPr>
                <w:trHeight w:val="20"/>
              </w:trPr>
              <w:tc>
                <w:tcPr>
                  <w:tcW w:w="2268" w:type="dxa"/>
                  <w:tcBorders>
                    <w:top w:val="single" w:sz="4" w:space="0" w:color="auto"/>
                    <w:left w:val="single" w:sz="12" w:space="0" w:color="auto"/>
                    <w:bottom w:val="single" w:sz="12"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rPr>
                      <w:rFonts w:hAnsi="標楷體" w:hint="eastAsia"/>
                      <w:snapToGrid/>
                    </w:rPr>
                  </w:pPr>
                  <w:r w:rsidRPr="006450E7">
                    <w:rPr>
                      <w:rFonts w:hAnsi="標楷體" w:hint="eastAsia"/>
                      <w:snapToGrid/>
                    </w:rPr>
                    <w:t>總計</w:t>
                  </w:r>
                </w:p>
              </w:tc>
              <w:tc>
                <w:tcPr>
                  <w:tcW w:w="1701" w:type="dxa"/>
                  <w:tcBorders>
                    <w:top w:val="single" w:sz="4" w:space="0" w:color="auto"/>
                    <w:left w:val="single" w:sz="4" w:space="0" w:color="auto"/>
                    <w:bottom w:val="single" w:sz="12" w:space="0" w:color="auto"/>
                    <w:right w:val="single" w:sz="4" w:space="0" w:color="auto"/>
                  </w:tcBorders>
                </w:tcPr>
                <w:p w:rsidR="009716C1" w:rsidRPr="006450E7" w:rsidRDefault="009716C1" w:rsidP="009716C1">
                  <w:pPr>
                    <w:kinsoku w:val="0"/>
                    <w:overflowPunct w:val="0"/>
                    <w:autoSpaceDN w:val="0"/>
                    <w:snapToGrid w:val="0"/>
                    <w:spacing w:line="280" w:lineRule="exact"/>
                    <w:ind w:leftChars="50" w:left="142" w:rightChars="50" w:right="142" w:firstLineChars="0" w:firstLine="560"/>
                    <w:rPr>
                      <w:rFonts w:hAnsi="標楷體" w:hint="eastAsia"/>
                      <w:snapToGrid/>
                    </w:rPr>
                  </w:pPr>
                </w:p>
              </w:tc>
              <w:tc>
                <w:tcPr>
                  <w:tcW w:w="1134" w:type="dxa"/>
                  <w:tcBorders>
                    <w:top w:val="single" w:sz="4" w:space="0" w:color="auto"/>
                    <w:left w:val="single" w:sz="4" w:space="0" w:color="auto"/>
                    <w:bottom w:val="single" w:sz="12" w:space="0" w:color="auto"/>
                    <w:right w:val="single" w:sz="4"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774</w:t>
                  </w:r>
                </w:p>
              </w:tc>
              <w:tc>
                <w:tcPr>
                  <w:tcW w:w="1134" w:type="dxa"/>
                  <w:tcBorders>
                    <w:top w:val="single" w:sz="4" w:space="0" w:color="auto"/>
                    <w:left w:val="single" w:sz="4" w:space="0" w:color="auto"/>
                    <w:bottom w:val="single" w:sz="12" w:space="0" w:color="auto"/>
                    <w:right w:val="single" w:sz="12" w:space="0" w:color="auto"/>
                  </w:tcBorders>
                  <w:hideMark/>
                </w:tcPr>
                <w:p w:rsidR="009716C1" w:rsidRPr="006450E7" w:rsidRDefault="009716C1" w:rsidP="009716C1">
                  <w:pPr>
                    <w:kinsoku w:val="0"/>
                    <w:overflowPunct w:val="0"/>
                    <w:autoSpaceDN w:val="0"/>
                    <w:snapToGrid w:val="0"/>
                    <w:spacing w:line="280" w:lineRule="exact"/>
                    <w:ind w:leftChars="0" w:left="0" w:rightChars="50" w:right="142" w:firstLineChars="0" w:firstLine="0"/>
                    <w:jc w:val="right"/>
                    <w:rPr>
                      <w:rFonts w:hAnsi="標楷體" w:hint="eastAsia"/>
                      <w:snapToGrid/>
                    </w:rPr>
                  </w:pPr>
                  <w:r w:rsidRPr="006450E7">
                    <w:rPr>
                      <w:rFonts w:hAnsi="標楷體" w:hint="eastAsia"/>
                      <w:snapToGrid/>
                    </w:rPr>
                    <w:t>469</w:t>
                  </w:r>
                </w:p>
              </w:tc>
            </w:tr>
          </w:tbl>
          <w:p w:rsidR="009716C1" w:rsidRPr="00E64288" w:rsidRDefault="009716C1" w:rsidP="00570F04">
            <w:pPr>
              <w:pStyle w:val="affe"/>
              <w:spacing w:line="400" w:lineRule="exact"/>
              <w:ind w:leftChars="100" w:left="541" w:hanging="258"/>
              <w:rPr>
                <w:rFonts w:hint="eastAsia"/>
                <w:sz w:val="28"/>
                <w:szCs w:val="28"/>
              </w:rPr>
            </w:pPr>
            <w:r w:rsidRPr="00E64288">
              <w:rPr>
                <w:rFonts w:hAnsi="Times New Roman" w:cs="Times New Roman" w:hint="eastAsia"/>
                <w:snapToGrid w:val="0"/>
                <w:sz w:val="28"/>
                <w:szCs w:val="28"/>
              </w:rPr>
              <w:t>資料來源：中央研究院</w:t>
            </w:r>
          </w:p>
        </w:tc>
      </w:tr>
      <w:tr w:rsidR="00A71D77" w:rsidRPr="00E64288" w:rsidTr="00FA3958">
        <w:tc>
          <w:tcPr>
            <w:tcW w:w="714" w:type="dxa"/>
          </w:tcPr>
          <w:p w:rsidR="00A71D77" w:rsidRPr="00E64288" w:rsidRDefault="00C10352" w:rsidP="00B21EBB">
            <w:pPr>
              <w:pStyle w:val="affe"/>
              <w:spacing w:line="400" w:lineRule="exact"/>
              <w:ind w:left="0" w:rightChars="0" w:right="0" w:firstLineChars="0" w:firstLine="0"/>
              <w:jc w:val="center"/>
              <w:rPr>
                <w:rFonts w:hint="eastAsia"/>
                <w:sz w:val="28"/>
                <w:szCs w:val="28"/>
              </w:rPr>
            </w:pPr>
            <w:r w:rsidRPr="00E64288">
              <w:rPr>
                <w:rFonts w:hint="eastAsia"/>
                <w:sz w:val="28"/>
                <w:szCs w:val="28"/>
              </w:rPr>
              <w:t>21.</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9B2FE7" w:rsidRPr="00E64288">
              <w:rPr>
                <w:rFonts w:hint="eastAsia"/>
                <w:sz w:val="28"/>
                <w:szCs w:val="28"/>
              </w:rPr>
              <w:t>教育及文化委員會-歲出部分-教育部主管-教育部</w:t>
            </w:r>
            <w:r w:rsidRPr="00E64288">
              <w:rPr>
                <w:rFonts w:hint="eastAsia"/>
                <w:sz w:val="28"/>
                <w:szCs w:val="28"/>
              </w:rPr>
              <w:t>】</w:t>
            </w:r>
          </w:p>
          <w:p w:rsidR="00A71D77" w:rsidRPr="00E64288" w:rsidRDefault="00952486" w:rsidP="00397617">
            <w:pPr>
              <w:pStyle w:val="affe"/>
              <w:spacing w:line="400" w:lineRule="exact"/>
              <w:ind w:left="283" w:hangingChars="100" w:hanging="283"/>
              <w:rPr>
                <w:sz w:val="28"/>
                <w:szCs w:val="28"/>
              </w:rPr>
            </w:pPr>
            <w:r w:rsidRPr="00E64288">
              <w:rPr>
                <w:rFonts w:hint="eastAsia"/>
                <w:sz w:val="28"/>
                <w:szCs w:val="28"/>
              </w:rPr>
              <w:t>(八)近期有知名Youtuber利用Deepfake深度偽造技術將他人圖像合成色情影片，將自身利益建立在他人痛苦之上。而過去社會新聞中，情侶分手後「報復性色情影片」威脅的事件屢見不鮮，當此類影片遇上Deepfake深度偽造技術，更是造成更多權利的侵害。Deepfake深度偽造技術應用層面廣泛，若為不肖人士惡意使用，除了近期數位性暴力事件之外，此一技術在歐美地區相對發展快速，國外更是有利用此技術製造並散布假新聞、影片，影響輿論發展，多家社群平台也提出相對應政策。未來可預期，台灣社會上將出現利用Deepfake深度偽造技術製造的假圖像、假影像、假聲音。近期事件也使台灣人對Deepfake技術的了解更加深刻，數位暴力無處不在，國人需培養更高的「媒體識讀」能力。惟此等能力需長期培養，爰此教育部應責成相關單位針對此一問題研擬相關辦法，輔導學校在Deepfake深度偽造技術衍生相關議題加強教育，並於1個月內向立法院教育及文化委員會提出書面報告。</w:t>
            </w:r>
          </w:p>
        </w:tc>
      </w:tr>
      <w:tr w:rsidR="000A0D30" w:rsidRPr="00E64288" w:rsidTr="00FA3958">
        <w:tc>
          <w:tcPr>
            <w:tcW w:w="714" w:type="dxa"/>
          </w:tcPr>
          <w:p w:rsidR="000A0D30" w:rsidRPr="00E64288" w:rsidRDefault="00C10352" w:rsidP="002B1F93">
            <w:pPr>
              <w:pStyle w:val="affe"/>
              <w:spacing w:line="400" w:lineRule="exact"/>
              <w:ind w:left="0" w:rightChars="0" w:right="0" w:firstLineChars="0" w:firstLine="0"/>
              <w:jc w:val="center"/>
              <w:rPr>
                <w:rFonts w:hint="eastAsia"/>
                <w:sz w:val="28"/>
                <w:szCs w:val="28"/>
              </w:rPr>
            </w:pPr>
            <w:r w:rsidRPr="00E64288">
              <w:rPr>
                <w:rFonts w:hint="eastAsia"/>
                <w:sz w:val="28"/>
                <w:szCs w:val="28"/>
              </w:rPr>
              <w:t>2</w:t>
            </w:r>
            <w:r w:rsidR="002B1F93">
              <w:rPr>
                <w:rFonts w:hint="eastAsia"/>
                <w:sz w:val="28"/>
                <w:szCs w:val="28"/>
              </w:rPr>
              <w:t>2</w:t>
            </w:r>
            <w:r w:rsidRPr="00E64288">
              <w:rPr>
                <w:rFonts w:hint="eastAsia"/>
                <w:sz w:val="28"/>
                <w:szCs w:val="28"/>
              </w:rPr>
              <w:t>.</w:t>
            </w:r>
          </w:p>
        </w:tc>
        <w:tc>
          <w:tcPr>
            <w:tcW w:w="7947" w:type="dxa"/>
            <w:shd w:val="clear" w:color="auto" w:fill="auto"/>
          </w:tcPr>
          <w:p w:rsidR="000A0D30" w:rsidRPr="00E64288" w:rsidRDefault="000A0D30"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9B2FE7" w:rsidRPr="00E64288">
              <w:rPr>
                <w:rFonts w:hint="eastAsia"/>
                <w:sz w:val="28"/>
                <w:szCs w:val="28"/>
              </w:rPr>
              <w:t>教育及文化委員會-歲出部分-教育部主管-教育部</w:t>
            </w:r>
            <w:r w:rsidRPr="00E64288">
              <w:rPr>
                <w:rFonts w:hint="eastAsia"/>
                <w:sz w:val="28"/>
                <w:szCs w:val="28"/>
              </w:rPr>
              <w:t>】</w:t>
            </w:r>
          </w:p>
          <w:p w:rsidR="000A0D30" w:rsidRPr="00E64288" w:rsidRDefault="00952486" w:rsidP="00397617">
            <w:pPr>
              <w:pStyle w:val="affe"/>
              <w:spacing w:line="400" w:lineRule="exact"/>
              <w:ind w:left="283" w:hangingChars="100" w:hanging="283"/>
              <w:rPr>
                <w:rFonts w:hint="eastAsia"/>
                <w:sz w:val="28"/>
                <w:szCs w:val="28"/>
              </w:rPr>
            </w:pPr>
            <w:r w:rsidRPr="00E64288">
              <w:rPr>
                <w:rFonts w:hint="eastAsia"/>
                <w:sz w:val="28"/>
                <w:szCs w:val="28"/>
              </w:rPr>
              <w:t>(五十一)自范委員雲上任以來，所有教育相關領域不適任人員資料庫串接之確認及驗證，一直是其主要關注追蹤的重點。2020年10月7日，教育部國民及學前教育署署長回覆，2020年將完成所有教育相關領域不適任人員資料庫介接，包含教育部內：涉性別事件之學校不適任人員資料庫、短期補習班不適任人員資料庫、全國幼兒園不適任教保服務人員通報查詢系統、全國教保服務機構不適任人員資料庫、兒童課後照顧服務不適任人員資料庫及其他學校人員不適任資料庫，且也將和司法院、法務部、內政部警政署、衛生福利部、軍警校、矯正學校等相關單位系統完成介接。然至今，除法務部和教育部資料庫之介接，教育部人事室已提供完整測試資料，驗證完成外；其餘目前皆尚未提出相關流程（如內政部警政署和教育部之介接）或正式足量之檢測驗證報告。以致教育部也無法回應各社會事件中，陳情民間團體和家長之擔憂，包含教育部不適任系統和警政署系統串接是否確實且足夠即時？2018年「補習及進修教育法」修法上路後，補教業是否能確實查到曾在學校、幼兒園、教保或安置機構內之不適任教育人員？查詢是否能包含修法前之裁罰紀錄？為釐清許多民間團體及民眾之擔憂，也為確保所有教育相關領域不適任人員資料庫串接之成效，爰請教育部於111年3月底前，針對前</w:t>
            </w:r>
            <w:r w:rsidR="00C57604" w:rsidRPr="00E64288">
              <w:rPr>
                <w:rFonts w:hint="eastAsia"/>
                <w:sz w:val="28"/>
                <w:szCs w:val="28"/>
              </w:rPr>
              <w:t>開所述各資料庫及各單位系統，完成彼此介接之檢測驗證，向立法院教育及文化委員會提出書面報告。</w:t>
            </w:r>
          </w:p>
        </w:tc>
      </w:tr>
      <w:tr w:rsidR="00C854D9" w:rsidRPr="00E64288" w:rsidTr="00FA3958">
        <w:tc>
          <w:tcPr>
            <w:tcW w:w="714" w:type="dxa"/>
          </w:tcPr>
          <w:p w:rsidR="00C854D9" w:rsidRPr="00E64288" w:rsidRDefault="00C10352" w:rsidP="002B1F93">
            <w:pPr>
              <w:pStyle w:val="affe"/>
              <w:spacing w:line="400" w:lineRule="exact"/>
              <w:ind w:left="0" w:rightChars="0" w:right="0" w:firstLineChars="0" w:firstLine="0"/>
              <w:jc w:val="center"/>
              <w:rPr>
                <w:rFonts w:hint="eastAsia"/>
                <w:sz w:val="28"/>
                <w:szCs w:val="28"/>
              </w:rPr>
            </w:pPr>
            <w:r w:rsidRPr="00E64288">
              <w:rPr>
                <w:rFonts w:hint="eastAsia"/>
                <w:sz w:val="28"/>
                <w:szCs w:val="28"/>
              </w:rPr>
              <w:t>2</w:t>
            </w:r>
            <w:r w:rsidR="002B1F93">
              <w:rPr>
                <w:rFonts w:hint="eastAsia"/>
                <w:sz w:val="28"/>
                <w:szCs w:val="28"/>
              </w:rPr>
              <w:t>3</w:t>
            </w:r>
            <w:r w:rsidRPr="00E64288">
              <w:rPr>
                <w:rFonts w:hint="eastAsia"/>
                <w:sz w:val="28"/>
                <w:szCs w:val="28"/>
              </w:rPr>
              <w:t>.</w:t>
            </w:r>
          </w:p>
        </w:tc>
        <w:tc>
          <w:tcPr>
            <w:tcW w:w="7947" w:type="dxa"/>
            <w:shd w:val="clear" w:color="auto" w:fill="auto"/>
          </w:tcPr>
          <w:p w:rsidR="00C854D9" w:rsidRPr="00E64288" w:rsidRDefault="00C854D9"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9B2FE7" w:rsidRPr="00E64288">
              <w:rPr>
                <w:rFonts w:hint="eastAsia"/>
                <w:sz w:val="28"/>
                <w:szCs w:val="28"/>
              </w:rPr>
              <w:t>教育及文化委員會-歲出部分-教育部主管-教育部</w:t>
            </w:r>
            <w:r w:rsidRPr="00E64288">
              <w:rPr>
                <w:rFonts w:hint="eastAsia"/>
                <w:sz w:val="28"/>
                <w:szCs w:val="28"/>
              </w:rPr>
              <w:t>】</w:t>
            </w:r>
          </w:p>
          <w:p w:rsidR="00C854D9" w:rsidRPr="00E64288" w:rsidRDefault="00C57604" w:rsidP="00C57604">
            <w:pPr>
              <w:pStyle w:val="affe"/>
              <w:spacing w:line="400" w:lineRule="exact"/>
              <w:ind w:left="283" w:hangingChars="100" w:hanging="283"/>
              <w:rPr>
                <w:rFonts w:hint="eastAsia"/>
                <w:sz w:val="28"/>
                <w:szCs w:val="28"/>
              </w:rPr>
            </w:pPr>
            <w:r w:rsidRPr="00E64288">
              <w:rPr>
                <w:rFonts w:hint="eastAsia"/>
                <w:sz w:val="28"/>
                <w:szCs w:val="28"/>
              </w:rPr>
              <w:t>(五十三)近3年，校園性騷擾受害人數上升，2018年則有超過千名孩子受害，數字令人震驚不容小覷。想落實性平教育，家庭、學校、和社會，多個面向相互配合，才能做好前端的預防，而第一線的教育人員，則要更勇於承擔、負起更多責任。喚起更多人關注性平議題，打破沉默、為孩子發聲，才能讓台灣的校園性平安全、往前推進。但許多人卻是選擇吹哨之後被霸凌，以往校園性平通報機制不完全，那麼通報機制完善的現在呢？一旦案件爆發，教育人員應該放下校譽第一的迷思，直視真相，才能抓住解決的先機。請教育部於1個月內提出校園性侵害及校園霸凌計畫執行改善報告，送交立法院教育及文化委員會。</w:t>
            </w:r>
          </w:p>
        </w:tc>
      </w:tr>
      <w:tr w:rsidR="00A71D77" w:rsidRPr="00E64288" w:rsidTr="00FA3958">
        <w:tc>
          <w:tcPr>
            <w:tcW w:w="714" w:type="dxa"/>
          </w:tcPr>
          <w:p w:rsidR="00A71D77" w:rsidRPr="00E64288" w:rsidRDefault="00C10352" w:rsidP="002B1F93">
            <w:pPr>
              <w:pStyle w:val="affe"/>
              <w:spacing w:line="400" w:lineRule="exact"/>
              <w:ind w:left="0" w:rightChars="0" w:right="0" w:firstLineChars="0" w:firstLine="0"/>
              <w:jc w:val="center"/>
              <w:rPr>
                <w:rFonts w:hint="eastAsia"/>
                <w:sz w:val="28"/>
                <w:szCs w:val="28"/>
              </w:rPr>
            </w:pPr>
            <w:r w:rsidRPr="00E64288">
              <w:rPr>
                <w:rFonts w:hint="eastAsia"/>
                <w:sz w:val="28"/>
                <w:szCs w:val="28"/>
              </w:rPr>
              <w:t>2</w:t>
            </w:r>
            <w:r w:rsidR="002B1F93">
              <w:rPr>
                <w:rFonts w:hint="eastAsia"/>
                <w:sz w:val="28"/>
                <w:szCs w:val="28"/>
              </w:rPr>
              <w:t>4</w:t>
            </w:r>
            <w:r w:rsidRPr="00E64288">
              <w:rPr>
                <w:rFonts w:hint="eastAsia"/>
                <w:sz w:val="28"/>
                <w:szCs w:val="28"/>
              </w:rPr>
              <w:t>.</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9B2FE7" w:rsidRPr="00E64288">
              <w:rPr>
                <w:rFonts w:hint="eastAsia"/>
                <w:sz w:val="28"/>
                <w:szCs w:val="28"/>
              </w:rPr>
              <w:t>教育及文化委員會-歲出部分-教育部主管-教育部</w:t>
            </w:r>
            <w:r w:rsidRPr="00E64288">
              <w:rPr>
                <w:rFonts w:hint="eastAsia"/>
                <w:sz w:val="28"/>
                <w:szCs w:val="28"/>
              </w:rPr>
              <w:t>】</w:t>
            </w:r>
          </w:p>
          <w:p w:rsidR="00A71D77" w:rsidRDefault="00C57604" w:rsidP="00C57604">
            <w:pPr>
              <w:pStyle w:val="affe"/>
              <w:spacing w:line="400" w:lineRule="exact"/>
              <w:ind w:left="283" w:hangingChars="100" w:hanging="283"/>
              <w:rPr>
                <w:sz w:val="28"/>
                <w:szCs w:val="28"/>
              </w:rPr>
            </w:pPr>
            <w:r w:rsidRPr="00E64288">
              <w:rPr>
                <w:rFonts w:hint="eastAsia"/>
                <w:sz w:val="28"/>
                <w:szCs w:val="28"/>
              </w:rPr>
              <w:t>(六十二)111年度教育部「高等教育」項下「高等教育行政及督導」中「強化人才培育及產學合作機制」預算編列7億6,176萬3千元。近年來教育部積極推動半導體產業人才培育，雖半導體產業為我國重要產業，然因政府將多數資源集中於此，反使其他系所學生在產學合作上得不到教育部提供足夠之資源，確有檢討之必要。再者，教育部在本筆預算中，編列2億元作為補助大學鼓勵STEM領域與跨領域之學生及教研人員投入STEM領域研究，並加強建立女性友善學習研發環境。然經查，大專校院STEM領域學生人數95學年度達到50.6萬人高峰後，近10年由100學年度之47.9萬人降至109學年度之38.3萬人，減少逾9.5萬人，而其占大專校院全體學生人數比率亦由100學年度之35.39%降至109學年度之31.81%，較100學年度減少3.58%，而STEM領域學生人數減少，不利我國科技人才之儲備及科技研發之提升，實有檢討改進之必要。綜上所述，請教育部於1個月內就此類人才系所調整/招生名額調整/女性科研人才等面向改善規劃，向立法院教育及文化委員會提出書面報告。</w:t>
            </w:r>
          </w:p>
          <w:p w:rsidR="00F30908" w:rsidRPr="00E64288" w:rsidRDefault="00F30908" w:rsidP="00F30908">
            <w:pPr>
              <w:pStyle w:val="affe"/>
              <w:spacing w:line="200" w:lineRule="exact"/>
              <w:ind w:left="283" w:hangingChars="100" w:hanging="283"/>
              <w:rPr>
                <w:rFonts w:hint="eastAsia"/>
                <w:sz w:val="28"/>
                <w:szCs w:val="28"/>
              </w:rPr>
            </w:pPr>
          </w:p>
        </w:tc>
      </w:tr>
      <w:tr w:rsidR="00A71D77" w:rsidRPr="00E64288" w:rsidTr="00FA3958">
        <w:tc>
          <w:tcPr>
            <w:tcW w:w="714" w:type="dxa"/>
          </w:tcPr>
          <w:p w:rsidR="00A71D77" w:rsidRPr="00E64288" w:rsidRDefault="00C10352" w:rsidP="004A6113">
            <w:pPr>
              <w:pStyle w:val="affe"/>
              <w:spacing w:line="400" w:lineRule="exact"/>
              <w:ind w:left="0" w:rightChars="0" w:right="0" w:firstLineChars="0" w:firstLine="0"/>
              <w:jc w:val="center"/>
              <w:rPr>
                <w:rFonts w:hint="eastAsia"/>
                <w:sz w:val="28"/>
                <w:szCs w:val="28"/>
              </w:rPr>
            </w:pPr>
            <w:r w:rsidRPr="00E64288">
              <w:rPr>
                <w:rFonts w:hint="eastAsia"/>
                <w:sz w:val="28"/>
                <w:szCs w:val="28"/>
              </w:rPr>
              <w:t>2</w:t>
            </w:r>
            <w:r w:rsidR="004A6113">
              <w:rPr>
                <w:rFonts w:hint="eastAsia"/>
                <w:sz w:val="28"/>
                <w:szCs w:val="28"/>
              </w:rPr>
              <w:t>5</w:t>
            </w:r>
            <w:r w:rsidRPr="00E64288">
              <w:rPr>
                <w:rFonts w:hint="eastAsia"/>
                <w:sz w:val="28"/>
                <w:szCs w:val="28"/>
              </w:rPr>
              <w:t>.</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9B2FE7" w:rsidRPr="00E64288">
              <w:rPr>
                <w:rFonts w:hint="eastAsia"/>
                <w:sz w:val="28"/>
                <w:szCs w:val="28"/>
              </w:rPr>
              <w:t>教育及文化委員會-歲出部分-教育部主管-教育部</w:t>
            </w:r>
            <w:r w:rsidRPr="00E64288">
              <w:rPr>
                <w:rFonts w:hint="eastAsia"/>
                <w:sz w:val="28"/>
                <w:szCs w:val="28"/>
              </w:rPr>
              <w:t>】</w:t>
            </w:r>
          </w:p>
          <w:p w:rsidR="00A71D77" w:rsidRPr="00E64288" w:rsidRDefault="00C57604" w:rsidP="00C57604">
            <w:pPr>
              <w:pStyle w:val="affe"/>
              <w:spacing w:line="400" w:lineRule="exact"/>
              <w:ind w:left="283" w:hangingChars="100" w:hanging="283"/>
              <w:rPr>
                <w:sz w:val="28"/>
                <w:szCs w:val="28"/>
              </w:rPr>
            </w:pPr>
            <w:r w:rsidRPr="00E64288">
              <w:rPr>
                <w:rFonts w:hint="eastAsia"/>
                <w:sz w:val="28"/>
                <w:szCs w:val="28"/>
              </w:rPr>
              <w:t>(六十四)111年度教育部「高等教育」項下「高等教育行政及督導」中「強化人才培育及產學合作機制計畫」編列預算7億6,176萬3千元，係因應數位國家及產業創新之需求，規劃辦理配合國家重要策略所需重點領域人才之培育等業務。由於STEM領域學生人數有減少趨勢，恐不利國內科技人才養成及科研能量提升，雖教育部於110年6月已辦理補助大專校院STEM領域及女性研發人才培育計畫，仍應適時滾動檢討、審慎評估計畫辦理情形。爰請教育部於3個月內向立法院教育及文化委員會提出相關辦理之書面報告。</w:t>
            </w:r>
          </w:p>
        </w:tc>
      </w:tr>
      <w:tr w:rsidR="00A71D77" w:rsidRPr="00E64288" w:rsidTr="00FA3958">
        <w:tc>
          <w:tcPr>
            <w:tcW w:w="714" w:type="dxa"/>
          </w:tcPr>
          <w:p w:rsidR="00A71D77" w:rsidRPr="00E64288" w:rsidRDefault="00C10352" w:rsidP="004A6113">
            <w:pPr>
              <w:pStyle w:val="affe"/>
              <w:spacing w:line="400" w:lineRule="exact"/>
              <w:ind w:left="0" w:rightChars="0" w:right="0" w:firstLineChars="0" w:firstLine="0"/>
              <w:jc w:val="center"/>
              <w:rPr>
                <w:rFonts w:hint="eastAsia"/>
                <w:sz w:val="28"/>
                <w:szCs w:val="28"/>
              </w:rPr>
            </w:pPr>
            <w:r w:rsidRPr="00E64288">
              <w:rPr>
                <w:rFonts w:hint="eastAsia"/>
                <w:sz w:val="28"/>
                <w:szCs w:val="28"/>
              </w:rPr>
              <w:t>2</w:t>
            </w:r>
            <w:r w:rsidR="004A6113">
              <w:rPr>
                <w:rFonts w:hint="eastAsia"/>
                <w:sz w:val="28"/>
                <w:szCs w:val="28"/>
              </w:rPr>
              <w:t>6</w:t>
            </w:r>
            <w:r w:rsidRPr="00E64288">
              <w:rPr>
                <w:rFonts w:hint="eastAsia"/>
                <w:sz w:val="28"/>
                <w:szCs w:val="28"/>
              </w:rPr>
              <w:t>.</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1F7050" w:rsidRPr="00E64288">
              <w:rPr>
                <w:rFonts w:hint="eastAsia"/>
                <w:sz w:val="28"/>
                <w:szCs w:val="28"/>
              </w:rPr>
              <w:t>教育及文化委員會-歲出部分-</w:t>
            </w:r>
            <w:r w:rsidR="006E6996" w:rsidRPr="00E64288">
              <w:rPr>
                <w:rFonts w:hint="eastAsia"/>
                <w:sz w:val="28"/>
                <w:szCs w:val="28"/>
              </w:rPr>
              <w:t>教育部主管-</w:t>
            </w:r>
            <w:r w:rsidR="001F7050" w:rsidRPr="00E64288">
              <w:rPr>
                <w:rFonts w:hint="eastAsia"/>
                <w:sz w:val="28"/>
                <w:szCs w:val="28"/>
              </w:rPr>
              <w:t>教育部</w:t>
            </w:r>
            <w:r w:rsidRPr="00E64288">
              <w:rPr>
                <w:rFonts w:hint="eastAsia"/>
                <w:sz w:val="28"/>
                <w:szCs w:val="28"/>
              </w:rPr>
              <w:t>】</w:t>
            </w:r>
          </w:p>
          <w:p w:rsidR="00A71D77" w:rsidRPr="00E64288" w:rsidRDefault="0020321D" w:rsidP="00397617">
            <w:pPr>
              <w:pStyle w:val="affe"/>
              <w:spacing w:line="400" w:lineRule="exact"/>
              <w:ind w:left="283" w:hangingChars="100" w:hanging="283"/>
              <w:rPr>
                <w:sz w:val="28"/>
                <w:szCs w:val="28"/>
              </w:rPr>
            </w:pPr>
            <w:r w:rsidRPr="00E64288">
              <w:rPr>
                <w:rFonts w:hint="eastAsia"/>
                <w:sz w:val="28"/>
                <w:szCs w:val="28"/>
              </w:rPr>
              <w:t>(六十六)「性別平等教育法」第12條規定：「學校應提供性別平等之學習環境，尊重及考量學生與教職員工之不同性別、性別特質、性別認同或性傾向，並建立安全之校園空間。」我國CEDAW第3次國家報告總結意見與建議第47點：「審查委員會建議定期調查與分析，並採取聚焦且客製化的積極政策措施解決問題，特別著重防治對女孩聽覺和聲語功能缺損者及智能障礙者，以及同性戀、雙性戀、跨性別、雙性人和外國籍學生之侵害。」然我國目前多數大專校院，對於跨性別學生住宿權益之維護仍顯有不足、甚至屢傳嚴重侵害。促進學校整體性別平等教育落實之性別友善宿舍也僅有個位數學校推動，其中甚至還出現違反性別平等的錯誤範例，顯示教育部對此督促及輔導仍有不足。教育部學生事務及特殊教育司已於2018年完成探討大專校院校園中跨性別之學生之空間使用權益計畫、2019年完成研編大專校院校園性別友善安全空間檢核及調查表，但教育部高等教育司卻未積極與學生事務及特殊教育司合作，使用此些成果保障跨性別學生權益、促進大專校院性別平等之落實，實為可惜。爰請教育部利用上述成果建立確實符合「性別平等教育法」、保障跨性別學生住宿權益之性別友善宿舍指引，以此擬訂中長期計畫，以每年覆蓋率至少提升5%為基準、於各大專校院設立符合指引之性別友善宿舍，並於3個月內向立法院教育及文化委員會提出書面報告。</w:t>
            </w:r>
          </w:p>
        </w:tc>
      </w:tr>
      <w:tr w:rsidR="00A71D77" w:rsidRPr="00E64288" w:rsidTr="00FA3958">
        <w:tc>
          <w:tcPr>
            <w:tcW w:w="714" w:type="dxa"/>
          </w:tcPr>
          <w:p w:rsidR="00A71D77" w:rsidRPr="00E64288" w:rsidRDefault="00C10352" w:rsidP="004A6113">
            <w:pPr>
              <w:pStyle w:val="affe"/>
              <w:spacing w:line="400" w:lineRule="exact"/>
              <w:ind w:left="0" w:rightChars="0" w:right="0" w:firstLineChars="0" w:firstLine="0"/>
              <w:jc w:val="center"/>
              <w:rPr>
                <w:rFonts w:hint="eastAsia"/>
                <w:sz w:val="28"/>
                <w:szCs w:val="28"/>
              </w:rPr>
            </w:pPr>
            <w:r w:rsidRPr="00E64288">
              <w:rPr>
                <w:rFonts w:hint="eastAsia"/>
                <w:sz w:val="28"/>
                <w:szCs w:val="28"/>
              </w:rPr>
              <w:t>2</w:t>
            </w:r>
            <w:r w:rsidR="004A6113">
              <w:rPr>
                <w:rFonts w:hint="eastAsia"/>
                <w:sz w:val="28"/>
                <w:szCs w:val="28"/>
              </w:rPr>
              <w:t>7</w:t>
            </w:r>
            <w:r w:rsidRPr="00E64288">
              <w:rPr>
                <w:rFonts w:hint="eastAsia"/>
                <w:sz w:val="28"/>
                <w:szCs w:val="28"/>
              </w:rPr>
              <w:t>.</w:t>
            </w:r>
          </w:p>
        </w:tc>
        <w:tc>
          <w:tcPr>
            <w:tcW w:w="7947" w:type="dxa"/>
            <w:shd w:val="clear" w:color="auto" w:fill="auto"/>
          </w:tcPr>
          <w:p w:rsidR="00A71D77" w:rsidRPr="00E64288" w:rsidRDefault="00A71D77" w:rsidP="00FF7DDF">
            <w:pPr>
              <w:pStyle w:val="affe"/>
              <w:spacing w:line="400" w:lineRule="exact"/>
              <w:ind w:left="258" w:hanging="258"/>
              <w:rPr>
                <w:rFonts w:hint="eastAsia"/>
                <w:sz w:val="28"/>
                <w:szCs w:val="28"/>
              </w:rPr>
            </w:pPr>
            <w:r w:rsidRPr="00E64288">
              <w:rPr>
                <w:rFonts w:hint="eastAsia"/>
                <w:sz w:val="28"/>
                <w:szCs w:val="28"/>
              </w:rPr>
              <w:t>【</w:t>
            </w:r>
            <w:r w:rsidR="001F7050" w:rsidRPr="00E64288">
              <w:rPr>
                <w:rFonts w:hint="eastAsia"/>
                <w:sz w:val="28"/>
                <w:szCs w:val="28"/>
              </w:rPr>
              <w:t>教育及文化委員會-歲出部分-</w:t>
            </w:r>
            <w:r w:rsidR="006E6996" w:rsidRPr="00E64288">
              <w:rPr>
                <w:rFonts w:hint="eastAsia"/>
                <w:sz w:val="28"/>
                <w:szCs w:val="28"/>
              </w:rPr>
              <w:t>教育部主管-</w:t>
            </w:r>
            <w:r w:rsidR="001F7050" w:rsidRPr="00E64288">
              <w:rPr>
                <w:rFonts w:hint="eastAsia"/>
                <w:sz w:val="28"/>
                <w:szCs w:val="28"/>
              </w:rPr>
              <w:t>教育部</w:t>
            </w:r>
            <w:r w:rsidRPr="00E64288">
              <w:rPr>
                <w:rFonts w:hint="eastAsia"/>
                <w:sz w:val="28"/>
                <w:szCs w:val="28"/>
              </w:rPr>
              <w:t>】</w:t>
            </w:r>
          </w:p>
          <w:p w:rsidR="00A71D77" w:rsidRPr="00E64288" w:rsidRDefault="0020321D" w:rsidP="0020321D">
            <w:pPr>
              <w:pStyle w:val="affe"/>
              <w:spacing w:line="400" w:lineRule="exact"/>
              <w:ind w:left="283" w:hangingChars="100" w:hanging="283"/>
              <w:rPr>
                <w:sz w:val="28"/>
                <w:szCs w:val="28"/>
              </w:rPr>
            </w:pPr>
            <w:r w:rsidRPr="00E64288">
              <w:rPr>
                <w:rFonts w:hint="eastAsia"/>
                <w:sz w:val="28"/>
                <w:szCs w:val="28"/>
              </w:rPr>
              <w:t>(六十九)「性別平等教育法」第12條規定：「學校應提供性別平等之學習環境，尊重及考量學生與教職員工之不同性別、性別特質、性別認同或性傾向，並建立安全之校園空間。」我國CEDAW第3次國家報告總結意見與建第47點：「審查委員會建議定期調查與分析，並採取聚焦且客製化的積極政策措施解決問題，特別著重防治對女孩、聽覺和聲語功能缺損者及智能障礙者，以及同性戀、雙性戀、跨性別、雙性人和外國籍學生之侵害。」然我國目前多數大專校院之性別平等之安全空間建立顯有不足，近年來校園性別事件通報件數逐年遞增，然大專校院開設性別議題課程相關指標卻多呈遞減趨勢，且甚至屢屢傳出違反性別平等、侵害女性或LGBT學生權益之課程、活動或設施，顯示教育部對此督促及輔導仍有不足。教育部學生事務及特殊教育司已於2018年完成探討大專校院校園中跨性別之學生之空間使用權益計畫、2019年完成研編大專校院校園性別友善安全空間檢核及調查表，但高等教育司卻未積極與學生事務及特殊教育司合作，將此些成果納入大學校務評鑑制度，實為可惜。請教育部利用上述成果建立確實符合「性別平等教育法」之評鑑指標，將其納入大學校務評鑑制度，以推動學校落實性別平等校園安全空間，並於3個月內向立法院教育及文化委員會提出書面報告。</w:t>
            </w:r>
          </w:p>
        </w:tc>
      </w:tr>
      <w:tr w:rsidR="00A71D77" w:rsidRPr="00E64288" w:rsidTr="00FA3958">
        <w:tc>
          <w:tcPr>
            <w:tcW w:w="714" w:type="dxa"/>
          </w:tcPr>
          <w:p w:rsidR="00A71D77" w:rsidRPr="00E64288" w:rsidRDefault="004A6113" w:rsidP="00B21EBB">
            <w:pPr>
              <w:pStyle w:val="affe"/>
              <w:spacing w:line="400" w:lineRule="exact"/>
              <w:ind w:left="0" w:rightChars="0" w:right="0" w:firstLineChars="0" w:firstLine="0"/>
              <w:jc w:val="center"/>
              <w:rPr>
                <w:rFonts w:hint="eastAsia"/>
                <w:sz w:val="28"/>
                <w:szCs w:val="28"/>
              </w:rPr>
            </w:pPr>
            <w:r>
              <w:rPr>
                <w:rFonts w:hint="eastAsia"/>
                <w:sz w:val="28"/>
                <w:szCs w:val="28"/>
              </w:rPr>
              <w:t>28</w:t>
            </w:r>
            <w:r w:rsidR="00C10352" w:rsidRPr="00E64288">
              <w:rPr>
                <w:rFonts w:hint="eastAsia"/>
                <w:sz w:val="28"/>
                <w:szCs w:val="28"/>
              </w:rPr>
              <w:t>.</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1F7050" w:rsidRPr="00E64288">
              <w:rPr>
                <w:rFonts w:hint="eastAsia"/>
                <w:sz w:val="28"/>
                <w:szCs w:val="28"/>
              </w:rPr>
              <w:t>教育及文化委員會-歲出部分-</w:t>
            </w:r>
            <w:r w:rsidR="006E6996" w:rsidRPr="00E64288">
              <w:rPr>
                <w:rFonts w:hint="eastAsia"/>
                <w:sz w:val="28"/>
                <w:szCs w:val="28"/>
              </w:rPr>
              <w:t>教育部主管-</w:t>
            </w:r>
            <w:r w:rsidR="001F7050" w:rsidRPr="00E64288">
              <w:rPr>
                <w:rFonts w:hint="eastAsia"/>
                <w:sz w:val="28"/>
                <w:szCs w:val="28"/>
              </w:rPr>
              <w:t>教育部</w:t>
            </w:r>
            <w:r w:rsidRPr="00E64288">
              <w:rPr>
                <w:rFonts w:hint="eastAsia"/>
                <w:sz w:val="28"/>
                <w:szCs w:val="28"/>
              </w:rPr>
              <w:t>】</w:t>
            </w:r>
          </w:p>
          <w:p w:rsidR="00A71D77" w:rsidRPr="00E64288" w:rsidRDefault="0020321D" w:rsidP="0020321D">
            <w:pPr>
              <w:pStyle w:val="affe"/>
              <w:spacing w:line="400" w:lineRule="exact"/>
              <w:ind w:left="283" w:hangingChars="100" w:hanging="283"/>
              <w:rPr>
                <w:sz w:val="28"/>
                <w:szCs w:val="28"/>
              </w:rPr>
            </w:pPr>
            <w:r w:rsidRPr="00E64288">
              <w:rPr>
                <w:rFonts w:hint="eastAsia"/>
                <w:sz w:val="28"/>
                <w:szCs w:val="28"/>
              </w:rPr>
              <w:t>(七十一)「性別平等教育法」第12條規定：「學校應提供性別平等之學習環境，尊重及考量學生與教職員工之不同性別、性別特質、性別認同或性傾向，並建立安全之校園空間。」我國CEDAW第3次國家報告總結意見與建議第47點：「審查委員會建議定期調查與分析，並採取聚焦且客製化的積極政策措施解決問題，特別著重防治對女孩聽覺和聲語功能缺損者及智能障礙者，以及同性戀、雙性戀、跨性別、雙性人和外國籍學生之侵害。」然我國目前多數大專校院，對於跨性別學生住宿權益之維護仍顯有不足、甚至屢傳嚴重侵害。促進學校整體性別平等教育落實之性別友善宿舍也僅有個位數學校推動，其中甚至還出現違反性別平等的錯誤範例，顯示教育部對此督促及輔導仍有不足。教育部學生事務及特殊教育司已於2018年完成探討大專校院校園中跨性別之學生之空間使用權益計畫、2019年完成研編大專校院校園性別友善安全空間檢核及調查表，但教育部技術及職業教育司卻未積極與學生事務及特殊教育司合作，使用此些成果保障跨性別學生權益、促進大專校院性別平等之落實，實為可惜。爰請教育部利用上述成果建立確實符合「性別平等教育法」、保障跨性別學生住宿權益之性別友善宿舍指引，以此擬訂中長期計畫，以每年覆蓋率至少提升5%為基準、於各大專校院設立符合指引之性別友善宿舍，並於3個月內向立法院教育及文化委員會提出書面報告。</w:t>
            </w:r>
          </w:p>
        </w:tc>
      </w:tr>
      <w:tr w:rsidR="00A71D77" w:rsidRPr="00E64288" w:rsidTr="00FA3958">
        <w:tc>
          <w:tcPr>
            <w:tcW w:w="714" w:type="dxa"/>
          </w:tcPr>
          <w:p w:rsidR="00A71D77" w:rsidRPr="00E64288" w:rsidRDefault="004A6113" w:rsidP="00B21EBB">
            <w:pPr>
              <w:pStyle w:val="affe"/>
              <w:spacing w:line="400" w:lineRule="exact"/>
              <w:ind w:left="0" w:rightChars="0" w:right="0" w:firstLineChars="0" w:firstLine="0"/>
              <w:jc w:val="center"/>
              <w:rPr>
                <w:rFonts w:hint="eastAsia"/>
                <w:sz w:val="28"/>
                <w:szCs w:val="28"/>
              </w:rPr>
            </w:pPr>
            <w:r>
              <w:rPr>
                <w:rFonts w:hint="eastAsia"/>
                <w:sz w:val="28"/>
                <w:szCs w:val="28"/>
              </w:rPr>
              <w:t>29</w:t>
            </w:r>
            <w:r w:rsidR="00C10352" w:rsidRPr="00E64288">
              <w:rPr>
                <w:rFonts w:hint="eastAsia"/>
                <w:sz w:val="28"/>
                <w:szCs w:val="28"/>
              </w:rPr>
              <w:t>.</w:t>
            </w:r>
          </w:p>
        </w:tc>
        <w:tc>
          <w:tcPr>
            <w:tcW w:w="7947" w:type="dxa"/>
            <w:shd w:val="clear" w:color="auto" w:fill="auto"/>
          </w:tcPr>
          <w:p w:rsidR="00A71D77" w:rsidRPr="00E64288" w:rsidRDefault="00A71D77"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1F7050" w:rsidRPr="00E64288">
              <w:rPr>
                <w:rFonts w:hint="eastAsia"/>
                <w:sz w:val="28"/>
                <w:szCs w:val="28"/>
              </w:rPr>
              <w:t>教育及文化委員會-歲出部分-</w:t>
            </w:r>
            <w:r w:rsidR="006E6996" w:rsidRPr="00E64288">
              <w:rPr>
                <w:rFonts w:hint="eastAsia"/>
                <w:sz w:val="28"/>
                <w:szCs w:val="28"/>
              </w:rPr>
              <w:t>教育部主管-</w:t>
            </w:r>
            <w:r w:rsidR="001F7050" w:rsidRPr="00E64288">
              <w:rPr>
                <w:rFonts w:hint="eastAsia"/>
                <w:sz w:val="28"/>
                <w:szCs w:val="28"/>
              </w:rPr>
              <w:t>教育部</w:t>
            </w:r>
            <w:r w:rsidRPr="00E64288">
              <w:rPr>
                <w:rFonts w:hint="eastAsia"/>
                <w:sz w:val="28"/>
                <w:szCs w:val="28"/>
              </w:rPr>
              <w:t>】</w:t>
            </w:r>
          </w:p>
          <w:p w:rsidR="00A71D77" w:rsidRPr="00E64288" w:rsidRDefault="0020321D" w:rsidP="0020321D">
            <w:pPr>
              <w:pStyle w:val="affe"/>
              <w:spacing w:line="400" w:lineRule="exact"/>
              <w:ind w:left="283" w:hangingChars="100" w:hanging="283"/>
              <w:rPr>
                <w:rFonts w:hint="eastAsia"/>
                <w:sz w:val="28"/>
                <w:szCs w:val="28"/>
              </w:rPr>
            </w:pPr>
            <w:r w:rsidRPr="00E64288">
              <w:rPr>
                <w:rFonts w:hint="eastAsia"/>
                <w:sz w:val="28"/>
                <w:szCs w:val="28"/>
              </w:rPr>
              <w:t>(八十五)111年度教育部「學務與輔導」項下「學生事務與特殊教育行政及督導」中「學生輔導及性別平等教育」之計畫係用於協助學校推動性別平等教育，建立無性別歧視教育環境。近日發生網紅利用「深度偽造（DeepFake）」技術，製作換臉影片在網路上牟利的案件，造成被害人身心嚴重傷害，更引發社會軒然大波。有鑑於數位科技發展迅速，網路及其他數位環境之性別暴力叢生，已然對於隱私權、名譽權、人身安全等造成重大傷害，對於數位性暴力的防治刻不容緩。除了推動修法工作，究其根本，更需從教育端進行宣導，使學生認知數位性暴力之類型與因應之道、行為嚴重性及相對應的刑責。爰要求教育部應持續推展數位性暴力防治教育，透過行政院性別平等委員會訂「數位/網路性別暴力之定義、類型及其內涵說明」進行教育宣導，並因應數位科技發展，即時將新型態「深度偽造（DeepFake）」影片之數位性暴力類型，納入教育宣導範圍。爰此，請教育部於3個月內向立法院教育及文化委員會提出書面報告。</w:t>
            </w:r>
          </w:p>
        </w:tc>
      </w:tr>
      <w:tr w:rsidR="001F7050" w:rsidRPr="00E64288" w:rsidTr="00FA3958">
        <w:tc>
          <w:tcPr>
            <w:tcW w:w="714" w:type="dxa"/>
          </w:tcPr>
          <w:p w:rsidR="001F7050" w:rsidRPr="00E64288" w:rsidRDefault="004A6113" w:rsidP="00B21EBB">
            <w:pPr>
              <w:pStyle w:val="affe"/>
              <w:spacing w:line="400" w:lineRule="exact"/>
              <w:ind w:left="0" w:rightChars="0" w:right="0" w:firstLineChars="0" w:firstLine="0"/>
              <w:jc w:val="center"/>
              <w:rPr>
                <w:rFonts w:hint="eastAsia"/>
                <w:sz w:val="28"/>
                <w:szCs w:val="28"/>
              </w:rPr>
            </w:pPr>
            <w:r>
              <w:rPr>
                <w:rFonts w:hint="eastAsia"/>
                <w:sz w:val="28"/>
                <w:szCs w:val="28"/>
              </w:rPr>
              <w:t>30</w:t>
            </w:r>
            <w:r w:rsidR="00C10352" w:rsidRPr="00E64288">
              <w:rPr>
                <w:rFonts w:hint="eastAsia"/>
                <w:sz w:val="28"/>
                <w:szCs w:val="28"/>
              </w:rPr>
              <w:t>.</w:t>
            </w:r>
          </w:p>
        </w:tc>
        <w:tc>
          <w:tcPr>
            <w:tcW w:w="7947" w:type="dxa"/>
            <w:shd w:val="clear" w:color="auto" w:fill="auto"/>
          </w:tcPr>
          <w:p w:rsidR="001F7050" w:rsidRPr="00E64288" w:rsidRDefault="001F7050" w:rsidP="008971CB">
            <w:pPr>
              <w:pStyle w:val="affe"/>
              <w:spacing w:line="400" w:lineRule="exact"/>
              <w:ind w:leftChars="-35" w:left="247" w:hangingChars="122" w:hanging="346"/>
              <w:rPr>
                <w:rFonts w:hint="eastAsia"/>
                <w:sz w:val="28"/>
                <w:szCs w:val="28"/>
              </w:rPr>
            </w:pPr>
            <w:r w:rsidRPr="00E64288">
              <w:rPr>
                <w:rFonts w:hint="eastAsia"/>
                <w:sz w:val="28"/>
                <w:szCs w:val="28"/>
              </w:rPr>
              <w:t>【</w:t>
            </w:r>
            <w:r w:rsidR="009B2FE7" w:rsidRPr="00E64288">
              <w:rPr>
                <w:rFonts w:hint="eastAsia"/>
                <w:sz w:val="28"/>
                <w:szCs w:val="28"/>
              </w:rPr>
              <w:t>教育及文化委員會-歲出部分-教育部主管-教育部</w:t>
            </w:r>
            <w:r w:rsidRPr="00E64288">
              <w:rPr>
                <w:rFonts w:hint="eastAsia"/>
                <w:sz w:val="28"/>
                <w:szCs w:val="28"/>
              </w:rPr>
              <w:t>】</w:t>
            </w:r>
          </w:p>
          <w:p w:rsidR="008971CB" w:rsidRPr="00E64288" w:rsidRDefault="008971CB" w:rsidP="008971CB">
            <w:pPr>
              <w:pStyle w:val="affe"/>
              <w:spacing w:line="400" w:lineRule="exact"/>
              <w:ind w:left="283" w:hangingChars="100" w:hanging="283"/>
              <w:rPr>
                <w:sz w:val="28"/>
                <w:szCs w:val="28"/>
              </w:rPr>
            </w:pPr>
            <w:r w:rsidRPr="00E64288">
              <w:rPr>
                <w:rFonts w:hint="eastAsia"/>
                <w:sz w:val="28"/>
                <w:szCs w:val="28"/>
              </w:rPr>
              <w:t>(八十八)依教育部統計，107至109年度校園性別事件通報案件數及確認件數呈現逐年增加之趨勢，其中性騷擾通報案件數自108至109年度增加3,401件（46.7%），性霸凌確認案件數自108至109年度增加41件（102%）。惟檢視大專校院性別議題相關課程開設及修習情形107至109學年度開設課程數自1,265門下降至1,224門，修課人數自6萬3,821人下滑至6萬1,925人，顯示大專校院推動性別議題相關課呈現遞減趨勢。教育部應積極鼓勵大專校院落實性別平等教育之課程及教學，督導學校落實校園性侵害、性騷擾、性霸凌防治及調查處理工作，請教育部於3個月內向立法院教育及文化委員會提出書面報告。</w:t>
            </w:r>
          </w:p>
          <w:tbl>
            <w:tblPr>
              <w:tblW w:w="6557" w:type="dxa"/>
              <w:tblInd w:w="2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70"/>
              <w:gridCol w:w="993"/>
              <w:gridCol w:w="1464"/>
              <w:gridCol w:w="1465"/>
              <w:gridCol w:w="1465"/>
            </w:tblGrid>
            <w:tr w:rsidR="00CA3C02" w:rsidRPr="00E64288" w:rsidTr="00CA3C02">
              <w:tc>
                <w:tcPr>
                  <w:tcW w:w="2163" w:type="dxa"/>
                  <w:gridSpan w:val="2"/>
                  <w:shd w:val="clear" w:color="auto" w:fill="auto"/>
                </w:tcPr>
                <w:p w:rsidR="008971CB" w:rsidRPr="00E64288" w:rsidRDefault="008971CB" w:rsidP="008971CB">
                  <w:pPr>
                    <w:spacing w:line="360" w:lineRule="exact"/>
                    <w:ind w:leftChars="0" w:left="283" w:hangingChars="100" w:hanging="283"/>
                    <w:rPr>
                      <w:rFonts w:hAnsi="標楷體" w:cs="Arial" w:hint="eastAsia"/>
                      <w:snapToGrid/>
                    </w:rPr>
                  </w:pPr>
                </w:p>
              </w:tc>
              <w:tc>
                <w:tcPr>
                  <w:tcW w:w="1464" w:type="dxa"/>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r w:rsidRPr="00E64288">
                    <w:rPr>
                      <w:rFonts w:hAnsi="標楷體" w:cs="Arial" w:hint="eastAsia"/>
                      <w:snapToGrid/>
                    </w:rPr>
                    <w:t>1</w:t>
                  </w:r>
                  <w:r w:rsidRPr="00E64288">
                    <w:rPr>
                      <w:rFonts w:hAnsi="標楷體" w:cs="Arial"/>
                      <w:snapToGrid/>
                    </w:rPr>
                    <w:t>07</w:t>
                  </w:r>
                  <w:r w:rsidRPr="00E64288">
                    <w:rPr>
                      <w:rFonts w:hAnsi="標楷體" w:cs="Arial" w:hint="eastAsia"/>
                      <w:snapToGrid/>
                    </w:rPr>
                    <w:t>年度</w:t>
                  </w:r>
                </w:p>
              </w:tc>
              <w:tc>
                <w:tcPr>
                  <w:tcW w:w="1465" w:type="dxa"/>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r w:rsidRPr="00E64288">
                    <w:rPr>
                      <w:rFonts w:hAnsi="標楷體" w:cs="Arial" w:hint="eastAsia"/>
                      <w:snapToGrid/>
                    </w:rPr>
                    <w:t>1</w:t>
                  </w:r>
                  <w:r w:rsidRPr="00E64288">
                    <w:rPr>
                      <w:rFonts w:hAnsi="標楷體" w:cs="Arial"/>
                      <w:snapToGrid/>
                    </w:rPr>
                    <w:t>08</w:t>
                  </w:r>
                  <w:r w:rsidRPr="00E64288">
                    <w:rPr>
                      <w:rFonts w:hAnsi="標楷體" w:cs="Arial" w:hint="eastAsia"/>
                      <w:snapToGrid/>
                    </w:rPr>
                    <w:t>年度</w:t>
                  </w:r>
                </w:p>
              </w:tc>
              <w:tc>
                <w:tcPr>
                  <w:tcW w:w="1465" w:type="dxa"/>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r w:rsidRPr="00E64288">
                    <w:rPr>
                      <w:rFonts w:hAnsi="標楷體" w:cs="Arial" w:hint="eastAsia"/>
                      <w:snapToGrid/>
                    </w:rPr>
                    <w:t>1</w:t>
                  </w:r>
                  <w:r w:rsidRPr="00E64288">
                    <w:rPr>
                      <w:rFonts w:hAnsi="標楷體" w:cs="Arial"/>
                      <w:snapToGrid/>
                    </w:rPr>
                    <w:t>09</w:t>
                  </w:r>
                  <w:r w:rsidRPr="00E64288">
                    <w:rPr>
                      <w:rFonts w:hAnsi="標楷體" w:cs="Arial" w:hint="eastAsia"/>
                      <w:snapToGrid/>
                    </w:rPr>
                    <w:t>年度</w:t>
                  </w:r>
                </w:p>
              </w:tc>
            </w:tr>
            <w:tr w:rsidR="00CA3C02" w:rsidRPr="00E64288" w:rsidTr="00CA3C02">
              <w:tc>
                <w:tcPr>
                  <w:tcW w:w="1170" w:type="dxa"/>
                  <w:vMerge w:val="restart"/>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r w:rsidRPr="00E64288">
                    <w:rPr>
                      <w:rFonts w:hAnsi="標楷體" w:cs="Arial" w:hint="eastAsia"/>
                      <w:snapToGrid/>
                    </w:rPr>
                    <w:t>性騷擾</w:t>
                  </w:r>
                </w:p>
              </w:tc>
              <w:tc>
                <w:tcPr>
                  <w:tcW w:w="993" w:type="dxa"/>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r w:rsidRPr="00E64288">
                    <w:rPr>
                      <w:rFonts w:hAnsi="標楷體" w:cs="Arial" w:hint="eastAsia"/>
                      <w:snapToGrid/>
                    </w:rPr>
                    <w:t>通報</w:t>
                  </w:r>
                </w:p>
              </w:tc>
              <w:tc>
                <w:tcPr>
                  <w:tcW w:w="1464"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5</w:t>
                  </w:r>
                  <w:r w:rsidRPr="00E64288">
                    <w:rPr>
                      <w:rFonts w:hAnsi="標楷體" w:cs="Arial"/>
                      <w:snapToGrid/>
                    </w:rPr>
                    <w:t>,982</w:t>
                  </w:r>
                  <w:r w:rsidRPr="00E64288">
                    <w:rPr>
                      <w:rFonts w:hAnsi="標楷體" w:cs="Arial" w:hint="eastAsia"/>
                      <w:snapToGrid/>
                    </w:rPr>
                    <w:t>件</w:t>
                  </w:r>
                </w:p>
              </w:tc>
              <w:tc>
                <w:tcPr>
                  <w:tcW w:w="1465"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7</w:t>
                  </w:r>
                  <w:r w:rsidRPr="00E64288">
                    <w:rPr>
                      <w:rFonts w:hAnsi="標楷體" w:cs="Arial"/>
                      <w:snapToGrid/>
                    </w:rPr>
                    <w:t>,280</w:t>
                  </w:r>
                  <w:r w:rsidRPr="00E64288">
                    <w:rPr>
                      <w:rFonts w:hAnsi="標楷體" w:cs="Arial" w:hint="eastAsia"/>
                      <w:snapToGrid/>
                    </w:rPr>
                    <w:t>件</w:t>
                  </w:r>
                </w:p>
              </w:tc>
              <w:tc>
                <w:tcPr>
                  <w:tcW w:w="1465"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1</w:t>
                  </w:r>
                  <w:r w:rsidRPr="00E64288">
                    <w:rPr>
                      <w:rFonts w:hAnsi="標楷體" w:cs="Arial"/>
                      <w:snapToGrid/>
                    </w:rPr>
                    <w:t>0,681</w:t>
                  </w:r>
                  <w:r w:rsidRPr="00E64288">
                    <w:rPr>
                      <w:rFonts w:hAnsi="標楷體" w:cs="Arial" w:hint="eastAsia"/>
                      <w:snapToGrid/>
                    </w:rPr>
                    <w:t>件</w:t>
                  </w:r>
                </w:p>
              </w:tc>
            </w:tr>
            <w:tr w:rsidR="00CA3C02" w:rsidRPr="00E64288" w:rsidTr="00CA3C02">
              <w:tc>
                <w:tcPr>
                  <w:tcW w:w="1170" w:type="dxa"/>
                  <w:vMerge/>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p>
              </w:tc>
              <w:tc>
                <w:tcPr>
                  <w:tcW w:w="993" w:type="dxa"/>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r w:rsidRPr="00E64288">
                    <w:rPr>
                      <w:rFonts w:hAnsi="標楷體" w:cs="Arial" w:hint="eastAsia"/>
                      <w:snapToGrid/>
                    </w:rPr>
                    <w:t>確認</w:t>
                  </w:r>
                </w:p>
              </w:tc>
              <w:tc>
                <w:tcPr>
                  <w:tcW w:w="1464"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2</w:t>
                  </w:r>
                  <w:r w:rsidRPr="00E64288">
                    <w:rPr>
                      <w:rFonts w:hAnsi="標楷體" w:cs="Arial"/>
                      <w:snapToGrid/>
                    </w:rPr>
                    <w:t>,138</w:t>
                  </w:r>
                  <w:r w:rsidRPr="00E64288">
                    <w:rPr>
                      <w:rFonts w:hAnsi="標楷體" w:cs="Arial" w:hint="eastAsia"/>
                      <w:snapToGrid/>
                    </w:rPr>
                    <w:t>件</w:t>
                  </w:r>
                </w:p>
              </w:tc>
              <w:tc>
                <w:tcPr>
                  <w:tcW w:w="1465"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2</w:t>
                  </w:r>
                  <w:r w:rsidRPr="00E64288">
                    <w:rPr>
                      <w:rFonts w:hAnsi="標楷體" w:cs="Arial"/>
                      <w:snapToGrid/>
                    </w:rPr>
                    <w:t>,398</w:t>
                  </w:r>
                  <w:r w:rsidRPr="00E64288">
                    <w:rPr>
                      <w:rFonts w:hAnsi="標楷體" w:cs="Arial" w:hint="eastAsia"/>
                      <w:snapToGrid/>
                    </w:rPr>
                    <w:t>件</w:t>
                  </w:r>
                </w:p>
              </w:tc>
              <w:tc>
                <w:tcPr>
                  <w:tcW w:w="1465"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2</w:t>
                  </w:r>
                  <w:r w:rsidRPr="00E64288">
                    <w:rPr>
                      <w:rFonts w:hAnsi="標楷體" w:cs="Arial"/>
                      <w:snapToGrid/>
                    </w:rPr>
                    <w:t>,845</w:t>
                  </w:r>
                  <w:r w:rsidRPr="00E64288">
                    <w:rPr>
                      <w:rFonts w:hAnsi="標楷體" w:cs="Arial" w:hint="eastAsia"/>
                      <w:snapToGrid/>
                    </w:rPr>
                    <w:t>件</w:t>
                  </w:r>
                </w:p>
              </w:tc>
            </w:tr>
            <w:tr w:rsidR="00CA3C02" w:rsidRPr="00E64288" w:rsidTr="00CA3C02">
              <w:tc>
                <w:tcPr>
                  <w:tcW w:w="1170" w:type="dxa"/>
                  <w:vMerge w:val="restart"/>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r w:rsidRPr="00E64288">
                    <w:rPr>
                      <w:rFonts w:hAnsi="標楷體" w:cs="Arial" w:hint="eastAsia"/>
                      <w:snapToGrid/>
                    </w:rPr>
                    <w:t>性侵害</w:t>
                  </w:r>
                </w:p>
              </w:tc>
              <w:tc>
                <w:tcPr>
                  <w:tcW w:w="993" w:type="dxa"/>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r w:rsidRPr="00E64288">
                    <w:rPr>
                      <w:rFonts w:hAnsi="標楷體" w:cs="Arial" w:hint="eastAsia"/>
                      <w:snapToGrid/>
                    </w:rPr>
                    <w:t>通報</w:t>
                  </w:r>
                </w:p>
              </w:tc>
              <w:tc>
                <w:tcPr>
                  <w:tcW w:w="1464"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1</w:t>
                  </w:r>
                  <w:r w:rsidRPr="00E64288">
                    <w:rPr>
                      <w:rFonts w:hAnsi="標楷體" w:cs="Arial"/>
                      <w:snapToGrid/>
                    </w:rPr>
                    <w:t>,766</w:t>
                  </w:r>
                  <w:r w:rsidRPr="00E64288">
                    <w:rPr>
                      <w:rFonts w:hAnsi="標楷體" w:cs="Arial" w:hint="eastAsia"/>
                      <w:snapToGrid/>
                    </w:rPr>
                    <w:t>件</w:t>
                  </w:r>
                </w:p>
              </w:tc>
              <w:tc>
                <w:tcPr>
                  <w:tcW w:w="1465"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2</w:t>
                  </w:r>
                  <w:r w:rsidRPr="00E64288">
                    <w:rPr>
                      <w:rFonts w:hAnsi="標楷體" w:cs="Arial"/>
                      <w:snapToGrid/>
                    </w:rPr>
                    <w:t>,042</w:t>
                  </w:r>
                  <w:r w:rsidRPr="00E64288">
                    <w:rPr>
                      <w:rFonts w:hAnsi="標楷體" w:cs="Arial" w:hint="eastAsia"/>
                      <w:snapToGrid/>
                    </w:rPr>
                    <w:t>件</w:t>
                  </w:r>
                </w:p>
              </w:tc>
              <w:tc>
                <w:tcPr>
                  <w:tcW w:w="1465"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2</w:t>
                  </w:r>
                  <w:r w:rsidRPr="00E64288">
                    <w:rPr>
                      <w:rFonts w:hAnsi="標楷體" w:cs="Arial"/>
                      <w:snapToGrid/>
                    </w:rPr>
                    <w:t>,535</w:t>
                  </w:r>
                  <w:r w:rsidRPr="00E64288">
                    <w:rPr>
                      <w:rFonts w:hAnsi="標楷體" w:cs="Arial" w:hint="eastAsia"/>
                      <w:snapToGrid/>
                    </w:rPr>
                    <w:t>件</w:t>
                  </w:r>
                </w:p>
              </w:tc>
            </w:tr>
            <w:tr w:rsidR="00CA3C02" w:rsidRPr="00E64288" w:rsidTr="00CA3C02">
              <w:tc>
                <w:tcPr>
                  <w:tcW w:w="1170" w:type="dxa"/>
                  <w:vMerge/>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p>
              </w:tc>
              <w:tc>
                <w:tcPr>
                  <w:tcW w:w="993" w:type="dxa"/>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r w:rsidRPr="00E64288">
                    <w:rPr>
                      <w:rFonts w:hAnsi="標楷體" w:cs="Arial" w:hint="eastAsia"/>
                      <w:snapToGrid/>
                    </w:rPr>
                    <w:t>確認</w:t>
                  </w:r>
                </w:p>
              </w:tc>
              <w:tc>
                <w:tcPr>
                  <w:tcW w:w="1464"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2</w:t>
                  </w:r>
                  <w:r w:rsidRPr="00E64288">
                    <w:rPr>
                      <w:rFonts w:hAnsi="標楷體" w:cs="Arial"/>
                      <w:snapToGrid/>
                    </w:rPr>
                    <w:t>96</w:t>
                  </w:r>
                  <w:r w:rsidRPr="00E64288">
                    <w:rPr>
                      <w:rFonts w:hAnsi="標楷體" w:cs="Arial" w:hint="eastAsia"/>
                      <w:snapToGrid/>
                    </w:rPr>
                    <w:t>件</w:t>
                  </w:r>
                </w:p>
              </w:tc>
              <w:tc>
                <w:tcPr>
                  <w:tcW w:w="1465"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2</w:t>
                  </w:r>
                  <w:r w:rsidRPr="00E64288">
                    <w:rPr>
                      <w:rFonts w:hAnsi="標楷體" w:cs="Arial"/>
                      <w:snapToGrid/>
                    </w:rPr>
                    <w:t>73</w:t>
                  </w:r>
                  <w:r w:rsidRPr="00E64288">
                    <w:rPr>
                      <w:rFonts w:hAnsi="標楷體" w:cs="Arial" w:hint="eastAsia"/>
                      <w:snapToGrid/>
                    </w:rPr>
                    <w:t>件</w:t>
                  </w:r>
                </w:p>
              </w:tc>
              <w:tc>
                <w:tcPr>
                  <w:tcW w:w="1465"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2</w:t>
                  </w:r>
                  <w:r w:rsidRPr="00E64288">
                    <w:rPr>
                      <w:rFonts w:hAnsi="標楷體" w:cs="Arial"/>
                      <w:snapToGrid/>
                    </w:rPr>
                    <w:t>94</w:t>
                  </w:r>
                  <w:r w:rsidRPr="00E64288">
                    <w:rPr>
                      <w:rFonts w:hAnsi="標楷體" w:cs="Arial" w:hint="eastAsia"/>
                      <w:snapToGrid/>
                    </w:rPr>
                    <w:t>件</w:t>
                  </w:r>
                </w:p>
              </w:tc>
            </w:tr>
            <w:tr w:rsidR="00CA3C02" w:rsidRPr="00E64288" w:rsidTr="00CA3C02">
              <w:tc>
                <w:tcPr>
                  <w:tcW w:w="1170" w:type="dxa"/>
                  <w:vMerge w:val="restart"/>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r w:rsidRPr="00E64288">
                    <w:rPr>
                      <w:rFonts w:hAnsi="標楷體" w:cs="Arial" w:hint="eastAsia"/>
                      <w:snapToGrid/>
                    </w:rPr>
                    <w:t>性霸凌</w:t>
                  </w:r>
                </w:p>
              </w:tc>
              <w:tc>
                <w:tcPr>
                  <w:tcW w:w="993" w:type="dxa"/>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r w:rsidRPr="00E64288">
                    <w:rPr>
                      <w:rFonts w:hAnsi="標楷體" w:cs="Arial" w:hint="eastAsia"/>
                      <w:snapToGrid/>
                    </w:rPr>
                    <w:t>通報</w:t>
                  </w:r>
                </w:p>
              </w:tc>
              <w:tc>
                <w:tcPr>
                  <w:tcW w:w="1464"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1</w:t>
                  </w:r>
                  <w:r w:rsidRPr="00E64288">
                    <w:rPr>
                      <w:rFonts w:hAnsi="標楷體" w:cs="Arial"/>
                      <w:snapToGrid/>
                    </w:rPr>
                    <w:t>28</w:t>
                  </w:r>
                  <w:r w:rsidRPr="00E64288">
                    <w:rPr>
                      <w:rFonts w:hAnsi="標楷體" w:cs="Arial" w:hint="eastAsia"/>
                      <w:snapToGrid/>
                    </w:rPr>
                    <w:t>件</w:t>
                  </w:r>
                </w:p>
              </w:tc>
              <w:tc>
                <w:tcPr>
                  <w:tcW w:w="1465"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1</w:t>
                  </w:r>
                  <w:r w:rsidRPr="00E64288">
                    <w:rPr>
                      <w:rFonts w:hAnsi="標楷體" w:cs="Arial"/>
                      <w:snapToGrid/>
                    </w:rPr>
                    <w:t>61</w:t>
                  </w:r>
                  <w:r w:rsidRPr="00E64288">
                    <w:rPr>
                      <w:rFonts w:hAnsi="標楷體" w:cs="Arial" w:hint="eastAsia"/>
                      <w:snapToGrid/>
                    </w:rPr>
                    <w:t>件</w:t>
                  </w:r>
                </w:p>
              </w:tc>
              <w:tc>
                <w:tcPr>
                  <w:tcW w:w="1465"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2</w:t>
                  </w:r>
                  <w:r w:rsidRPr="00E64288">
                    <w:rPr>
                      <w:rFonts w:hAnsi="標楷體" w:cs="Arial"/>
                      <w:snapToGrid/>
                    </w:rPr>
                    <w:t>77</w:t>
                  </w:r>
                  <w:r w:rsidRPr="00E64288">
                    <w:rPr>
                      <w:rFonts w:hAnsi="標楷體" w:cs="Arial" w:hint="eastAsia"/>
                      <w:snapToGrid/>
                    </w:rPr>
                    <w:t>件</w:t>
                  </w:r>
                </w:p>
              </w:tc>
            </w:tr>
            <w:tr w:rsidR="00CA3C02" w:rsidRPr="00E64288" w:rsidTr="00CA3C02">
              <w:tc>
                <w:tcPr>
                  <w:tcW w:w="1170" w:type="dxa"/>
                  <w:vMerge/>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p>
              </w:tc>
              <w:tc>
                <w:tcPr>
                  <w:tcW w:w="993" w:type="dxa"/>
                  <w:shd w:val="clear" w:color="auto" w:fill="auto"/>
                </w:tcPr>
                <w:p w:rsidR="008971CB" w:rsidRPr="00E64288" w:rsidRDefault="008971CB" w:rsidP="008971CB">
                  <w:pPr>
                    <w:spacing w:line="360" w:lineRule="exact"/>
                    <w:ind w:leftChars="0" w:left="283" w:hangingChars="100" w:hanging="283"/>
                    <w:jc w:val="center"/>
                    <w:rPr>
                      <w:rFonts w:hAnsi="標楷體" w:cs="Arial" w:hint="eastAsia"/>
                      <w:snapToGrid/>
                    </w:rPr>
                  </w:pPr>
                  <w:r w:rsidRPr="00E64288">
                    <w:rPr>
                      <w:rFonts w:hAnsi="標楷體" w:cs="Arial" w:hint="eastAsia"/>
                      <w:snapToGrid/>
                    </w:rPr>
                    <w:t>確認</w:t>
                  </w:r>
                </w:p>
              </w:tc>
              <w:tc>
                <w:tcPr>
                  <w:tcW w:w="1464"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4</w:t>
                  </w:r>
                  <w:r w:rsidRPr="00E64288">
                    <w:rPr>
                      <w:rFonts w:hAnsi="標楷體" w:cs="Arial"/>
                      <w:snapToGrid/>
                    </w:rPr>
                    <w:t>8</w:t>
                  </w:r>
                  <w:r w:rsidRPr="00E64288">
                    <w:rPr>
                      <w:rFonts w:hAnsi="標楷體" w:cs="Arial" w:hint="eastAsia"/>
                      <w:snapToGrid/>
                    </w:rPr>
                    <w:t>件</w:t>
                  </w:r>
                </w:p>
              </w:tc>
              <w:tc>
                <w:tcPr>
                  <w:tcW w:w="1465"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4</w:t>
                  </w:r>
                  <w:r w:rsidRPr="00E64288">
                    <w:rPr>
                      <w:rFonts w:hAnsi="標楷體" w:cs="Arial"/>
                      <w:snapToGrid/>
                    </w:rPr>
                    <w:t>0</w:t>
                  </w:r>
                  <w:r w:rsidRPr="00E64288">
                    <w:rPr>
                      <w:rFonts w:hAnsi="標楷體" w:cs="Arial" w:hint="eastAsia"/>
                      <w:snapToGrid/>
                    </w:rPr>
                    <w:t>件</w:t>
                  </w:r>
                </w:p>
              </w:tc>
              <w:tc>
                <w:tcPr>
                  <w:tcW w:w="1465" w:type="dxa"/>
                  <w:shd w:val="clear" w:color="auto" w:fill="auto"/>
                </w:tcPr>
                <w:p w:rsidR="008971CB" w:rsidRPr="00E64288" w:rsidRDefault="008971CB" w:rsidP="008971CB">
                  <w:pPr>
                    <w:spacing w:line="360" w:lineRule="exact"/>
                    <w:ind w:leftChars="0" w:left="283" w:hangingChars="100" w:hanging="283"/>
                    <w:jc w:val="right"/>
                    <w:rPr>
                      <w:rFonts w:hAnsi="標楷體" w:cs="Arial" w:hint="eastAsia"/>
                      <w:snapToGrid/>
                    </w:rPr>
                  </w:pPr>
                  <w:r w:rsidRPr="00E64288">
                    <w:rPr>
                      <w:rFonts w:hAnsi="標楷體" w:cs="Arial" w:hint="eastAsia"/>
                      <w:snapToGrid/>
                    </w:rPr>
                    <w:t>8</w:t>
                  </w:r>
                  <w:r w:rsidRPr="00E64288">
                    <w:rPr>
                      <w:rFonts w:hAnsi="標楷體" w:cs="Arial"/>
                      <w:snapToGrid/>
                    </w:rPr>
                    <w:t>1</w:t>
                  </w:r>
                  <w:r w:rsidRPr="00E64288">
                    <w:rPr>
                      <w:rFonts w:hAnsi="標楷體" w:cs="Arial" w:hint="eastAsia"/>
                      <w:snapToGrid/>
                    </w:rPr>
                    <w:t>件</w:t>
                  </w:r>
                </w:p>
              </w:tc>
            </w:tr>
          </w:tbl>
          <w:p w:rsidR="001F7050" w:rsidRPr="00E64288" w:rsidRDefault="001F7050" w:rsidP="008971CB">
            <w:pPr>
              <w:pStyle w:val="affe"/>
              <w:spacing w:line="400" w:lineRule="exact"/>
              <w:ind w:left="283" w:hangingChars="100" w:hanging="283"/>
              <w:rPr>
                <w:rFonts w:hint="eastAsia"/>
                <w:sz w:val="28"/>
                <w:szCs w:val="28"/>
              </w:rPr>
            </w:pPr>
          </w:p>
        </w:tc>
      </w:tr>
      <w:tr w:rsidR="001F7050" w:rsidRPr="00E64288" w:rsidTr="00FA3958">
        <w:tc>
          <w:tcPr>
            <w:tcW w:w="714" w:type="dxa"/>
          </w:tcPr>
          <w:p w:rsidR="001F7050" w:rsidRPr="00E64288" w:rsidRDefault="00C10352" w:rsidP="004A6113">
            <w:pPr>
              <w:pStyle w:val="affe"/>
              <w:spacing w:line="400" w:lineRule="exact"/>
              <w:ind w:left="0" w:rightChars="0" w:right="0" w:firstLineChars="0" w:firstLine="0"/>
              <w:jc w:val="center"/>
              <w:rPr>
                <w:rFonts w:hint="eastAsia"/>
                <w:sz w:val="28"/>
                <w:szCs w:val="28"/>
              </w:rPr>
            </w:pPr>
            <w:r w:rsidRPr="00E64288">
              <w:rPr>
                <w:rFonts w:hint="eastAsia"/>
                <w:sz w:val="28"/>
                <w:szCs w:val="28"/>
              </w:rPr>
              <w:t>3</w:t>
            </w:r>
            <w:r w:rsidR="004A6113">
              <w:rPr>
                <w:rFonts w:hint="eastAsia"/>
                <w:sz w:val="28"/>
                <w:szCs w:val="28"/>
              </w:rPr>
              <w:t>1</w:t>
            </w:r>
            <w:r w:rsidRPr="00E64288">
              <w:rPr>
                <w:rFonts w:hint="eastAsia"/>
                <w:sz w:val="28"/>
                <w:szCs w:val="28"/>
              </w:rPr>
              <w:t>.</w:t>
            </w:r>
          </w:p>
        </w:tc>
        <w:tc>
          <w:tcPr>
            <w:tcW w:w="7947" w:type="dxa"/>
            <w:shd w:val="clear" w:color="auto" w:fill="auto"/>
          </w:tcPr>
          <w:p w:rsidR="001F7050" w:rsidRPr="00E64288" w:rsidRDefault="001F7050"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9B2FE7" w:rsidRPr="00E64288">
              <w:rPr>
                <w:rFonts w:hint="eastAsia"/>
                <w:sz w:val="28"/>
                <w:szCs w:val="28"/>
              </w:rPr>
              <w:t>教育及文化委員會-歲出部分-教育部主管-教育部</w:t>
            </w:r>
            <w:r w:rsidRPr="00E64288">
              <w:rPr>
                <w:rFonts w:hint="eastAsia"/>
                <w:sz w:val="28"/>
                <w:szCs w:val="28"/>
              </w:rPr>
              <w:t>】</w:t>
            </w:r>
          </w:p>
          <w:p w:rsidR="001F7050" w:rsidRPr="00E64288" w:rsidRDefault="008971CB" w:rsidP="008971CB">
            <w:pPr>
              <w:pStyle w:val="affe"/>
              <w:spacing w:line="400" w:lineRule="exact"/>
              <w:ind w:left="283" w:hangingChars="100" w:hanging="283"/>
              <w:rPr>
                <w:rFonts w:hint="eastAsia"/>
                <w:sz w:val="28"/>
                <w:szCs w:val="28"/>
              </w:rPr>
            </w:pPr>
            <w:r w:rsidRPr="00E64288">
              <w:rPr>
                <w:rFonts w:hint="eastAsia"/>
                <w:sz w:val="28"/>
                <w:szCs w:val="28"/>
              </w:rPr>
              <w:t>(九十)111年度教育部「學務與輔導」項下「學生事務與特殊教育行政及督導」中「學生輔導及性別平等教育」預算編列3億0,606萬2千元，係推動學生輔導以及性別平等教育等工作內容。惟近年度校園性別事件通報件數持續增加，而大專校院開設性別議題課程相關指標卻多呈遞減狀況，教育部可評估研議相關獎鼓勵的措施，以積極推動大專校院之性別平等教育。爰此，請教育部於3個月內向立法院教育及文化委員會提出相關研議之書面報告。</w:t>
            </w:r>
          </w:p>
        </w:tc>
      </w:tr>
      <w:tr w:rsidR="001F7050" w:rsidRPr="00E64288" w:rsidTr="00FA3958">
        <w:tc>
          <w:tcPr>
            <w:tcW w:w="714" w:type="dxa"/>
          </w:tcPr>
          <w:p w:rsidR="001F7050" w:rsidRPr="00E64288" w:rsidRDefault="00C10352" w:rsidP="004A6113">
            <w:pPr>
              <w:pStyle w:val="affe"/>
              <w:spacing w:line="400" w:lineRule="exact"/>
              <w:ind w:left="0" w:rightChars="0" w:right="0" w:firstLineChars="0" w:firstLine="0"/>
              <w:jc w:val="center"/>
              <w:rPr>
                <w:rFonts w:hint="eastAsia"/>
                <w:sz w:val="28"/>
                <w:szCs w:val="28"/>
              </w:rPr>
            </w:pPr>
            <w:r w:rsidRPr="00E64288">
              <w:rPr>
                <w:rFonts w:hint="eastAsia"/>
                <w:sz w:val="28"/>
                <w:szCs w:val="28"/>
              </w:rPr>
              <w:t>3</w:t>
            </w:r>
            <w:r w:rsidR="004A6113">
              <w:rPr>
                <w:rFonts w:hint="eastAsia"/>
                <w:sz w:val="28"/>
                <w:szCs w:val="28"/>
              </w:rPr>
              <w:t>2</w:t>
            </w:r>
            <w:r w:rsidRPr="00E64288">
              <w:rPr>
                <w:rFonts w:hint="eastAsia"/>
                <w:sz w:val="28"/>
                <w:szCs w:val="28"/>
              </w:rPr>
              <w:t>.</w:t>
            </w:r>
          </w:p>
        </w:tc>
        <w:tc>
          <w:tcPr>
            <w:tcW w:w="7947" w:type="dxa"/>
            <w:shd w:val="clear" w:color="auto" w:fill="auto"/>
          </w:tcPr>
          <w:p w:rsidR="001F7050" w:rsidRPr="00E64288" w:rsidRDefault="001F7050"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9B2FE7" w:rsidRPr="00E64288">
              <w:rPr>
                <w:rFonts w:hint="eastAsia"/>
                <w:sz w:val="28"/>
                <w:szCs w:val="28"/>
              </w:rPr>
              <w:t>教育及文化委員會-歲出部分-教育部主管-教育部</w:t>
            </w:r>
            <w:r w:rsidRPr="00E64288">
              <w:rPr>
                <w:rFonts w:hint="eastAsia"/>
                <w:sz w:val="28"/>
                <w:szCs w:val="28"/>
              </w:rPr>
              <w:t>】</w:t>
            </w:r>
          </w:p>
          <w:p w:rsidR="001F7050" w:rsidRPr="00E64288" w:rsidRDefault="008971CB" w:rsidP="00397617">
            <w:pPr>
              <w:pStyle w:val="affe"/>
              <w:spacing w:line="400" w:lineRule="exact"/>
              <w:ind w:left="283" w:hangingChars="100" w:hanging="283"/>
              <w:rPr>
                <w:rFonts w:hint="eastAsia"/>
                <w:sz w:val="28"/>
                <w:szCs w:val="28"/>
              </w:rPr>
            </w:pPr>
            <w:r w:rsidRPr="00E64288">
              <w:rPr>
                <w:rFonts w:hint="eastAsia"/>
                <w:sz w:val="28"/>
                <w:szCs w:val="28"/>
              </w:rPr>
              <w:t>(九十一)「性別平等教育法」第12條規定：「學校應提供性別平等之學習環境，尊重及考量學生與教職員工之不同性別、性別特質、性別認同或性傾向，並建立安全之校園空間。」我國CEDAW第3次國家報告總結意見與建議第47點：「審查委員會建議定期調查與分析，並採取聚焦且客製化的積極政策措施解決問題，特別著重防治對女孩、聽覺和聲語功能缺損者及智能障礙者，以及同性戀、雙性戀、跨性別、雙性人和外國籍學生之侵害。」然我國目前多數學校仍較少關注保障跨性別學生如廁權益及推動校園性別平等設施之議題，設立性別友善廁所或推動相關措施的學校比例仍低，甚至出現便宜行事、違反性別平等之錯誤範例，例如只將無障礙廁所加上傳統男女廁之標誌。爰要求教育部參考國立臺灣大學性別友善廁所設置準則及參考手冊、臺北市政府所轄機關構之廁所涉及不分性別設計之設置參考原則、大專校院校園性別友善安全空開檢核及調查表等資訊，擬定確實符合「性別平等教育法」之校園性別友善廁所設置指引，以此擬訂中長期計畫，大專校院部分結合行政院性別平等重要議題及推動計畫（111至114年）院層級議題辦理，請各校規劃改善計畫；高級中等學校部分，教育部國民及學前教育署於109年起已納入國立高級中等學校校舍興建計畫，請各校於基本設計審查時，將性別友善廁所納入規劃，始予補助學校校舍興建，另自110年度試辦國立高級中等學校老舊廁修繕美化計畫，以提供補助經費方式，鼓勵學校設置性別友善廁所；國民中小學教育部國民及學前教育署於111年度地方政府提出申請計畫時，針對性別友善廁所得優先予以補助。以每年整修覆蓋率提升5%為基準、於各級學校推動設置符合指引之性別友善廁所/不分性別廁所，並搭配性別平等教育傳遞正確觀念，並請教育部於3個月內向立法院教育及文化委員會提出書面報告。</w:t>
            </w:r>
          </w:p>
        </w:tc>
      </w:tr>
      <w:tr w:rsidR="001F7050" w:rsidRPr="00E64288" w:rsidTr="00FA3958">
        <w:tc>
          <w:tcPr>
            <w:tcW w:w="714" w:type="dxa"/>
          </w:tcPr>
          <w:p w:rsidR="001F7050" w:rsidRPr="00E64288" w:rsidRDefault="00C10352" w:rsidP="004A6113">
            <w:pPr>
              <w:pStyle w:val="affe"/>
              <w:spacing w:line="400" w:lineRule="exact"/>
              <w:ind w:left="0" w:rightChars="0" w:right="0" w:firstLineChars="0" w:firstLine="0"/>
              <w:jc w:val="center"/>
              <w:rPr>
                <w:rFonts w:hint="eastAsia"/>
                <w:sz w:val="28"/>
                <w:szCs w:val="28"/>
              </w:rPr>
            </w:pPr>
            <w:r w:rsidRPr="00E64288">
              <w:rPr>
                <w:rFonts w:hint="eastAsia"/>
                <w:sz w:val="28"/>
                <w:szCs w:val="28"/>
              </w:rPr>
              <w:t>3</w:t>
            </w:r>
            <w:r w:rsidR="004A6113">
              <w:rPr>
                <w:rFonts w:hint="eastAsia"/>
                <w:sz w:val="28"/>
                <w:szCs w:val="28"/>
              </w:rPr>
              <w:t>3</w:t>
            </w:r>
            <w:r w:rsidRPr="00E64288">
              <w:rPr>
                <w:rFonts w:hint="eastAsia"/>
                <w:sz w:val="28"/>
                <w:szCs w:val="28"/>
              </w:rPr>
              <w:t>.</w:t>
            </w:r>
          </w:p>
        </w:tc>
        <w:tc>
          <w:tcPr>
            <w:tcW w:w="7947" w:type="dxa"/>
            <w:shd w:val="clear" w:color="auto" w:fill="auto"/>
          </w:tcPr>
          <w:p w:rsidR="00791AEC" w:rsidRPr="00E64288" w:rsidRDefault="00791AEC"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9B2FE7" w:rsidRPr="00E64288">
              <w:rPr>
                <w:rFonts w:hint="eastAsia"/>
                <w:sz w:val="28"/>
                <w:szCs w:val="28"/>
              </w:rPr>
              <w:t>教育及文化委員會-歲出部分-教育部主管-教育部</w:t>
            </w:r>
            <w:r w:rsidRPr="00E64288">
              <w:rPr>
                <w:rFonts w:hint="eastAsia"/>
                <w:sz w:val="28"/>
                <w:szCs w:val="28"/>
              </w:rPr>
              <w:t>】</w:t>
            </w:r>
          </w:p>
          <w:p w:rsidR="001F7050" w:rsidRPr="00E64288" w:rsidRDefault="008971CB" w:rsidP="008971CB">
            <w:pPr>
              <w:pStyle w:val="affe"/>
              <w:spacing w:line="400" w:lineRule="exact"/>
              <w:ind w:left="283" w:hangingChars="100" w:hanging="283"/>
              <w:rPr>
                <w:rFonts w:hint="eastAsia"/>
                <w:sz w:val="28"/>
                <w:szCs w:val="28"/>
              </w:rPr>
            </w:pPr>
            <w:r w:rsidRPr="00E64288">
              <w:rPr>
                <w:rFonts w:hint="eastAsia"/>
                <w:sz w:val="28"/>
                <w:szCs w:val="28"/>
              </w:rPr>
              <w:t>(九十二)「性別平等教育法」第12條規定：「學校應提供性別平等之學習環境，尊重及考量學生與教職員工之不同性別、性別特質、性別認同或性傾向，並建立安全之校園空間。」然民間團體2021年9月公布的「台灣首次同志（LGBTQ+）學生校園經驗調查」結果卻顯示，恐同言論仍普遍存在國高中小校園，且高達40.6%LGBT學生表示，即使教職員在場也從來不曾介入處理恐同言論、甚至有68.5%LGBT生指出，曾聽過老師、教職員或教官發表恐同言論。針對性別氣質表現的負面言論也是相同狀況，有74%LGBT學生指出，曾聽過學校教職員發表對性別氣質表現的負面言論。此外，曾經歷騷擾或攻擊的LGBT學生中，高達55.2%不曾向老師或教職員通報，原因中特別需要注意的是，高達16.8%LGBT學生表示他們的老師或教職員本身就是恐同或恐跨者，所以不會向他們通報或求助。調查中也顯示，只有27.7%LGBT學生表示，就讀學校的校長、處室主任對於LGBT抱持支持的態度。以上數據也顯示目前校內各類性平研習及進修之成效未如預期，請教育部規劃性平研習或進修內容符合「性別平等教育法」且涵蓋同志及多元性別內容之檢核方式，並自111年度起納入各級學校內各類性平相關研習及進修統計內同時公開資訊，並於3個月內向立法院教育及文化委員會提出書面報告。</w:t>
            </w:r>
          </w:p>
        </w:tc>
      </w:tr>
      <w:tr w:rsidR="00791AEC" w:rsidRPr="00E64288" w:rsidTr="00FA3958">
        <w:tc>
          <w:tcPr>
            <w:tcW w:w="714" w:type="dxa"/>
          </w:tcPr>
          <w:p w:rsidR="00791AEC" w:rsidRPr="00E64288" w:rsidRDefault="004A6113" w:rsidP="004A6113">
            <w:pPr>
              <w:pStyle w:val="affe"/>
              <w:spacing w:line="400" w:lineRule="exact"/>
              <w:ind w:left="0" w:rightChars="0" w:right="0" w:firstLineChars="0" w:firstLine="0"/>
              <w:jc w:val="center"/>
              <w:rPr>
                <w:rFonts w:hint="eastAsia"/>
                <w:sz w:val="28"/>
                <w:szCs w:val="28"/>
              </w:rPr>
            </w:pPr>
            <w:r>
              <w:rPr>
                <w:rFonts w:hint="eastAsia"/>
                <w:sz w:val="28"/>
                <w:szCs w:val="28"/>
              </w:rPr>
              <w:t>3</w:t>
            </w:r>
            <w:r w:rsidR="00C10352" w:rsidRPr="00E64288">
              <w:rPr>
                <w:rFonts w:hint="eastAsia"/>
                <w:sz w:val="28"/>
                <w:szCs w:val="28"/>
              </w:rPr>
              <w:t>4.</w:t>
            </w:r>
          </w:p>
        </w:tc>
        <w:tc>
          <w:tcPr>
            <w:tcW w:w="7947" w:type="dxa"/>
            <w:shd w:val="clear" w:color="auto" w:fill="auto"/>
          </w:tcPr>
          <w:p w:rsidR="00791AEC" w:rsidRPr="00E64288" w:rsidRDefault="00791AEC"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9B2FE7" w:rsidRPr="00E64288">
              <w:rPr>
                <w:rFonts w:hint="eastAsia"/>
                <w:sz w:val="28"/>
                <w:szCs w:val="28"/>
              </w:rPr>
              <w:t>教育及文化委員會-歲出部分-教育部主管-教育部</w:t>
            </w:r>
            <w:r w:rsidRPr="00E64288">
              <w:rPr>
                <w:rFonts w:hint="eastAsia"/>
                <w:sz w:val="28"/>
                <w:szCs w:val="28"/>
              </w:rPr>
              <w:t>】</w:t>
            </w:r>
          </w:p>
          <w:p w:rsidR="00791AEC" w:rsidRPr="00E64288" w:rsidRDefault="008971CB" w:rsidP="00397617">
            <w:pPr>
              <w:pStyle w:val="affe"/>
              <w:spacing w:line="400" w:lineRule="exact"/>
              <w:ind w:left="283" w:hangingChars="100" w:hanging="283"/>
              <w:rPr>
                <w:rFonts w:hint="eastAsia"/>
                <w:sz w:val="28"/>
                <w:szCs w:val="28"/>
              </w:rPr>
            </w:pPr>
            <w:r w:rsidRPr="00E64288">
              <w:rPr>
                <w:rFonts w:hint="eastAsia"/>
                <w:sz w:val="28"/>
                <w:szCs w:val="28"/>
              </w:rPr>
              <w:t>(九十三)「性別平等教育法」第12條規定：「學校應提供性別平等之學習環境，尊重及考量學生與教職員工之不同性別、性別特質、性別認同或性傾向，並建立安全之校園空間。」且第2條也敘明性別平等教育之定義為「指以教育方式教導尊重多元性別差異，消除性別歧視，促進性別地位之實質平等。」然民間團體2021年9月公布的「台灣首次同志（LGBTQ+）學生校園經驗調查」結果卻顯示，僅有10.8%LGBT學生表示，就讀的學校有反霸凌、騷擾攻擊的政策，且該政策有納入性傾向、性別認同、性別氣質表現。而當學校有此類政策時，27.6%LGBT學生指出，當恐同言論出現時，學校教職員通常都會介入處理，且其他同學也比較有可能會介入協助。此外，在課程方面，30.9%LGBT學生表示，在學校內未曾被教導過任何和同志議題相關的內容，高達26.9%LGBT學生提到，自己曾經被教導過與同志議題相關的負面訊息，另外，只有45%LGBT學生曾在學校內接觸到納入LGBT的性教育及和LGBT等多元性別身分相關的正向資訊。請教育部規劃於性教育課程納入LGBT學生性健康議題、反霸凌政策明確保障LGBT學生權益之具體做法，並於3個月內向立法院教育及文化委員會提出書面報告。</w:t>
            </w:r>
          </w:p>
        </w:tc>
      </w:tr>
      <w:tr w:rsidR="00791AEC" w:rsidRPr="00E64288" w:rsidTr="00FA3958">
        <w:tc>
          <w:tcPr>
            <w:tcW w:w="714" w:type="dxa"/>
          </w:tcPr>
          <w:p w:rsidR="00791AEC" w:rsidRPr="00E64288" w:rsidRDefault="004A6113" w:rsidP="00B21EBB">
            <w:pPr>
              <w:pStyle w:val="affe"/>
              <w:spacing w:line="400" w:lineRule="exact"/>
              <w:ind w:left="0" w:rightChars="0" w:right="0" w:firstLineChars="0" w:firstLine="0"/>
              <w:jc w:val="center"/>
              <w:rPr>
                <w:rFonts w:hint="eastAsia"/>
                <w:sz w:val="28"/>
                <w:szCs w:val="28"/>
              </w:rPr>
            </w:pPr>
            <w:r>
              <w:rPr>
                <w:rFonts w:hint="eastAsia"/>
                <w:sz w:val="28"/>
                <w:szCs w:val="28"/>
              </w:rPr>
              <w:t>35</w:t>
            </w:r>
            <w:r w:rsidR="00C10352" w:rsidRPr="00E64288">
              <w:rPr>
                <w:rFonts w:hint="eastAsia"/>
                <w:sz w:val="28"/>
                <w:szCs w:val="28"/>
              </w:rPr>
              <w:t>.</w:t>
            </w:r>
          </w:p>
        </w:tc>
        <w:tc>
          <w:tcPr>
            <w:tcW w:w="7947" w:type="dxa"/>
            <w:shd w:val="clear" w:color="auto" w:fill="auto"/>
          </w:tcPr>
          <w:p w:rsidR="00791AEC" w:rsidRPr="00E64288" w:rsidRDefault="00791AEC"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781E5E" w:rsidRPr="00E64288">
              <w:rPr>
                <w:rFonts w:hint="eastAsia"/>
                <w:sz w:val="28"/>
                <w:szCs w:val="28"/>
              </w:rPr>
              <w:t>教育及文化委員會-歲出部分-教育部主管-教育部</w:t>
            </w:r>
            <w:r w:rsidRPr="00E64288">
              <w:rPr>
                <w:rFonts w:hint="eastAsia"/>
                <w:sz w:val="28"/>
                <w:szCs w:val="28"/>
              </w:rPr>
              <w:t>】</w:t>
            </w:r>
          </w:p>
          <w:p w:rsidR="00791AEC" w:rsidRPr="00E64288" w:rsidRDefault="008971CB" w:rsidP="008971CB">
            <w:pPr>
              <w:pStyle w:val="affe"/>
              <w:spacing w:line="400" w:lineRule="exact"/>
              <w:ind w:left="283" w:hangingChars="100" w:hanging="283"/>
              <w:rPr>
                <w:rFonts w:hint="eastAsia"/>
                <w:sz w:val="28"/>
                <w:szCs w:val="28"/>
              </w:rPr>
            </w:pPr>
            <w:r w:rsidRPr="00E64288">
              <w:rPr>
                <w:rFonts w:hint="eastAsia"/>
                <w:sz w:val="28"/>
                <w:szCs w:val="28"/>
              </w:rPr>
              <w:t>(九十四)「性別平等教育法」第12條規定：「學校應提供性別平等之學習環境，尊重及考量學生與教職員工之不同性別、性別特質、性別認同或性傾向，並建立安全之校園空間。」然民間團體2021年9月公布的「台灣首次同志（LGBTQ+）學生校園經驗調查」結果卻顯示，恐同言論仍普遍存在國高中小校園，且高建40.6%LGBT學生表示，即使教職員在場也從來不曾介入處理恐同言論、甚至有68.5% LGBT學生指出，曾聽過老師、教職員或教官發表恐同言論。針對性別氣質表現的負面言論也是相同狀況，有74%LGBT學生指出，曾聽過學校教職員發表對性別氣質表現的負面言論。此外，曾經歷騷擾或攻擊的LGBT學生中，高達55.2%不曾向老師或教職員通報，原因中特別需要注意的是，高達16.8%LGBT學生表示他們的老師或教職員本身就是恐同或恐跨者，所以不會向他們通報或求助。調查中也顯示，只有27.7%LGBT學生表示，就讀學校的校長、處室主任對於LGBT抱持支持的態度。學校教職員應成為LGBT學生的支持來源而非傷害者，請教育部學生事務及特殊教育司會同教育部各相關單位共同規劃於2年內，使所有現職各級學校校長、一般主管、教官、教職員都確實接受符合「性別平等教育法」並確實包含同志與跨性別議題之性別平等在職訓練之規劃及辦理期程，並於3個月內向立法院教育及文化委員會提出書面報告。</w:t>
            </w:r>
          </w:p>
        </w:tc>
      </w:tr>
      <w:tr w:rsidR="005A6C2C" w:rsidRPr="00E64288" w:rsidTr="005A6C2C">
        <w:tc>
          <w:tcPr>
            <w:tcW w:w="714" w:type="dxa"/>
            <w:tcBorders>
              <w:top w:val="single" w:sz="2" w:space="0" w:color="auto"/>
              <w:left w:val="single" w:sz="12" w:space="0" w:color="auto"/>
              <w:bottom w:val="single" w:sz="2" w:space="0" w:color="auto"/>
              <w:right w:val="single" w:sz="2" w:space="0" w:color="auto"/>
            </w:tcBorders>
          </w:tcPr>
          <w:p w:rsidR="005A6C2C" w:rsidRPr="00E64288" w:rsidRDefault="005A6C2C" w:rsidP="005A6C2C">
            <w:pPr>
              <w:pStyle w:val="affe"/>
              <w:spacing w:line="400" w:lineRule="exact"/>
              <w:ind w:left="0" w:rightChars="0" w:right="0" w:firstLineChars="0" w:firstLine="0"/>
              <w:jc w:val="center"/>
              <w:rPr>
                <w:rFonts w:hint="eastAsia"/>
                <w:sz w:val="28"/>
                <w:szCs w:val="28"/>
              </w:rPr>
            </w:pPr>
            <w:r>
              <w:rPr>
                <w:rFonts w:hint="eastAsia"/>
                <w:sz w:val="28"/>
                <w:szCs w:val="28"/>
              </w:rPr>
              <w:t>3</w:t>
            </w:r>
            <w:r w:rsidRPr="00E64288">
              <w:rPr>
                <w:rFonts w:hint="eastAsia"/>
                <w:sz w:val="28"/>
                <w:szCs w:val="28"/>
              </w:rPr>
              <w:t>6.</w:t>
            </w:r>
          </w:p>
        </w:tc>
        <w:tc>
          <w:tcPr>
            <w:tcW w:w="7947" w:type="dxa"/>
            <w:tcBorders>
              <w:top w:val="single" w:sz="2" w:space="0" w:color="auto"/>
              <w:left w:val="single" w:sz="2" w:space="0" w:color="auto"/>
              <w:bottom w:val="single" w:sz="2" w:space="0" w:color="auto"/>
              <w:right w:val="single" w:sz="12" w:space="0" w:color="auto"/>
            </w:tcBorders>
            <w:shd w:val="clear" w:color="auto" w:fill="auto"/>
          </w:tcPr>
          <w:p w:rsidR="005A6C2C" w:rsidRPr="00E64288" w:rsidRDefault="005A6C2C" w:rsidP="00BC4D45">
            <w:pPr>
              <w:pStyle w:val="affe"/>
              <w:spacing w:line="400" w:lineRule="exact"/>
              <w:ind w:leftChars="-35" w:left="247" w:hangingChars="122" w:hanging="346"/>
              <w:rPr>
                <w:rFonts w:hint="eastAsia"/>
                <w:sz w:val="28"/>
                <w:szCs w:val="28"/>
              </w:rPr>
            </w:pPr>
            <w:r w:rsidRPr="00E64288">
              <w:rPr>
                <w:rFonts w:hint="eastAsia"/>
                <w:sz w:val="28"/>
                <w:szCs w:val="28"/>
              </w:rPr>
              <w:t>【教育及文化委員會-歲出部分-教育部主管-教育部】</w:t>
            </w:r>
          </w:p>
          <w:p w:rsidR="005A6C2C" w:rsidRPr="00E64288" w:rsidRDefault="005A6C2C" w:rsidP="005A6C2C">
            <w:pPr>
              <w:pStyle w:val="affe"/>
              <w:spacing w:line="400" w:lineRule="exact"/>
              <w:ind w:leftChars="-35" w:left="247" w:hangingChars="122" w:hanging="346"/>
              <w:rPr>
                <w:rFonts w:hint="eastAsia"/>
                <w:sz w:val="28"/>
                <w:szCs w:val="28"/>
              </w:rPr>
            </w:pPr>
            <w:r w:rsidRPr="00E64288">
              <w:rPr>
                <w:rFonts w:hint="eastAsia"/>
                <w:sz w:val="28"/>
                <w:szCs w:val="28"/>
              </w:rPr>
              <w:t>(一九六)</w:t>
            </w:r>
            <w:r w:rsidRPr="00E64288">
              <w:rPr>
                <w:rFonts w:hint="eastAsia"/>
              </w:rPr>
              <w:t>…</w:t>
            </w:r>
            <w:r w:rsidRPr="00E64288">
              <w:rPr>
                <w:rFonts w:hint="eastAsia"/>
                <w:sz w:val="28"/>
                <w:szCs w:val="28"/>
              </w:rPr>
              <w:t>按立法院2021年11月19日已三讀通過「跟蹤騷擾防制法」，明確定義八大跟騷樣態，包含監視、守候、尾隨等，最重將可處5年徒刑，其中教育主管機關應就其權責範圍，配合執行各級學校跟蹤騷擾防制教育之推動、跟蹤騷擾被害人就學權益維護及學校輔導諮商支持、校園跟蹤騷擾事件處理之改善等相關事宜。為敦促教育部辦理旨揭事由，爰此要求教育部於3個月內重新盤整並向立法院教育及文化委員會提出各級學校對應八大跟騷態樣之具體行政措施之書面報告。</w:t>
            </w:r>
          </w:p>
        </w:tc>
      </w:tr>
      <w:tr w:rsidR="005F6E9D" w:rsidRPr="00E64288" w:rsidTr="00FA3958">
        <w:tc>
          <w:tcPr>
            <w:tcW w:w="714" w:type="dxa"/>
          </w:tcPr>
          <w:p w:rsidR="005F6E9D" w:rsidRPr="00E64288" w:rsidRDefault="004A6113" w:rsidP="00CF7A14">
            <w:pPr>
              <w:pStyle w:val="affe"/>
              <w:spacing w:line="400" w:lineRule="exact"/>
              <w:ind w:left="0" w:rightChars="0" w:right="0" w:firstLineChars="0" w:firstLine="0"/>
              <w:jc w:val="center"/>
              <w:rPr>
                <w:rFonts w:hint="eastAsia"/>
                <w:sz w:val="28"/>
                <w:szCs w:val="28"/>
              </w:rPr>
            </w:pPr>
            <w:r>
              <w:rPr>
                <w:rFonts w:hint="eastAsia"/>
                <w:sz w:val="28"/>
                <w:szCs w:val="28"/>
              </w:rPr>
              <w:t>3</w:t>
            </w:r>
            <w:r w:rsidR="00CF7A14">
              <w:rPr>
                <w:rFonts w:hint="eastAsia"/>
                <w:sz w:val="28"/>
                <w:szCs w:val="28"/>
              </w:rPr>
              <w:t>7</w:t>
            </w:r>
            <w:r w:rsidR="00C10352" w:rsidRPr="00E64288">
              <w:rPr>
                <w:rFonts w:hint="eastAsia"/>
                <w:sz w:val="28"/>
                <w:szCs w:val="28"/>
              </w:rPr>
              <w:t>.</w:t>
            </w:r>
          </w:p>
        </w:tc>
        <w:tc>
          <w:tcPr>
            <w:tcW w:w="7947" w:type="dxa"/>
            <w:shd w:val="clear" w:color="auto" w:fill="auto"/>
          </w:tcPr>
          <w:p w:rsidR="005F6E9D" w:rsidRPr="00E64288" w:rsidRDefault="005F6E9D" w:rsidP="00FF7DDF">
            <w:pPr>
              <w:pStyle w:val="affe"/>
              <w:spacing w:line="400" w:lineRule="exact"/>
              <w:ind w:leftChars="-35" w:left="247" w:hangingChars="122" w:hanging="346"/>
              <w:rPr>
                <w:rFonts w:hint="eastAsia"/>
                <w:sz w:val="28"/>
                <w:szCs w:val="28"/>
              </w:rPr>
            </w:pPr>
            <w:r w:rsidRPr="00E64288">
              <w:rPr>
                <w:rFonts w:hint="eastAsia"/>
                <w:sz w:val="28"/>
                <w:szCs w:val="28"/>
              </w:rPr>
              <w:t>【</w:t>
            </w:r>
            <w:r w:rsidR="00781E5E" w:rsidRPr="00E64288">
              <w:rPr>
                <w:rFonts w:hint="eastAsia"/>
                <w:sz w:val="28"/>
                <w:szCs w:val="28"/>
              </w:rPr>
              <w:t>教育及文化委員會-歲出部分-教育部主管-教育部</w:t>
            </w:r>
            <w:r w:rsidRPr="00E64288">
              <w:rPr>
                <w:rFonts w:hint="eastAsia"/>
                <w:sz w:val="28"/>
                <w:szCs w:val="28"/>
              </w:rPr>
              <w:t>】</w:t>
            </w:r>
          </w:p>
          <w:p w:rsidR="005F6E9D" w:rsidRPr="00E64288" w:rsidRDefault="00781E5E" w:rsidP="00397617">
            <w:pPr>
              <w:pStyle w:val="affe"/>
              <w:spacing w:line="400" w:lineRule="exact"/>
              <w:ind w:left="283" w:hangingChars="100" w:hanging="283"/>
              <w:rPr>
                <w:rFonts w:hint="eastAsia"/>
                <w:sz w:val="28"/>
                <w:szCs w:val="28"/>
              </w:rPr>
            </w:pPr>
            <w:r w:rsidRPr="00E64288">
              <w:rPr>
                <w:rFonts w:hint="eastAsia"/>
                <w:sz w:val="28"/>
                <w:szCs w:val="28"/>
              </w:rPr>
              <w:t>(二四五)111年度教育部「學生事務與特殊教育行政及督導」項下「學生輔導及性別平等教育」預算編列3億0,606萬2千元，用以辦理學生輔導工作及推動校園性別平等教育。據教育部統計，校園性別事件通報件數107至109年度逐年遞增，在校園性別事件確認件數方面，除性侵害事件109年度較107年度略少外，性騷擾事件及性霸凌事件109年度均較107年度增加，教育部應督促各校或相關權責機關儘速辦理相關案件調查，並對久懸之通報案件分析逾期原因，持續精進追蹤及督導作業；另107至109學年度大專校院開設性別議題課程相關指標多呈遞減趨勢，顯示該等課程之開設仍有再提升空間，請教育部於3個月內向立法院教育及文化委員會提出校園性別平等教育相關政策精進方案書面報告。</w:t>
            </w:r>
          </w:p>
        </w:tc>
      </w:tr>
      <w:tr w:rsidR="00A81FCC" w:rsidRPr="00E64288" w:rsidTr="00FA3958">
        <w:tc>
          <w:tcPr>
            <w:tcW w:w="714" w:type="dxa"/>
          </w:tcPr>
          <w:p w:rsidR="00A81FCC" w:rsidRPr="00E64288" w:rsidRDefault="004A6113" w:rsidP="00CF7A14">
            <w:pPr>
              <w:pStyle w:val="affe"/>
              <w:spacing w:line="400" w:lineRule="exact"/>
              <w:ind w:left="0" w:rightChars="0" w:right="0" w:firstLineChars="0" w:firstLine="0"/>
              <w:jc w:val="center"/>
              <w:rPr>
                <w:rFonts w:hint="eastAsia"/>
                <w:sz w:val="28"/>
                <w:szCs w:val="28"/>
              </w:rPr>
            </w:pPr>
            <w:r>
              <w:rPr>
                <w:rFonts w:hint="eastAsia"/>
                <w:sz w:val="28"/>
                <w:szCs w:val="28"/>
              </w:rPr>
              <w:t>3</w:t>
            </w:r>
            <w:r w:rsidR="00CF7A14">
              <w:rPr>
                <w:rFonts w:hint="eastAsia"/>
                <w:sz w:val="28"/>
                <w:szCs w:val="28"/>
              </w:rPr>
              <w:t>8</w:t>
            </w:r>
            <w:r w:rsidR="008B009C">
              <w:rPr>
                <w:rFonts w:hint="eastAsia"/>
                <w:sz w:val="28"/>
                <w:szCs w:val="28"/>
              </w:rPr>
              <w:t>.</w:t>
            </w:r>
          </w:p>
        </w:tc>
        <w:tc>
          <w:tcPr>
            <w:tcW w:w="7947" w:type="dxa"/>
            <w:shd w:val="clear" w:color="auto" w:fill="auto"/>
          </w:tcPr>
          <w:p w:rsidR="00A81FCC" w:rsidRPr="00E64288" w:rsidRDefault="00A81FCC" w:rsidP="00A81FCC">
            <w:pPr>
              <w:pStyle w:val="affe"/>
              <w:spacing w:line="400" w:lineRule="exact"/>
              <w:ind w:leftChars="-35" w:left="247" w:hangingChars="122" w:hanging="346"/>
              <w:rPr>
                <w:rFonts w:hint="eastAsia"/>
                <w:sz w:val="28"/>
                <w:szCs w:val="28"/>
              </w:rPr>
            </w:pPr>
            <w:r w:rsidRPr="00E64288">
              <w:rPr>
                <w:rFonts w:hint="eastAsia"/>
                <w:sz w:val="28"/>
                <w:szCs w:val="28"/>
              </w:rPr>
              <w:t>【教育及文化委員會-歲出部分-教育部主管-國民及學前教育署】</w:t>
            </w:r>
          </w:p>
          <w:p w:rsidR="00A81FCC" w:rsidRDefault="00A81FCC" w:rsidP="00A81FCC">
            <w:pPr>
              <w:pStyle w:val="affe"/>
              <w:spacing w:line="400" w:lineRule="exact"/>
              <w:ind w:left="283" w:hangingChars="100" w:hanging="283"/>
              <w:rPr>
                <w:sz w:val="28"/>
                <w:szCs w:val="28"/>
              </w:rPr>
            </w:pPr>
            <w:r w:rsidRPr="00E64288">
              <w:rPr>
                <w:rFonts w:hint="eastAsia"/>
                <w:sz w:val="28"/>
                <w:szCs w:val="28"/>
              </w:rPr>
              <w:t>(十三)台灣校園長期以來存在各種違法違規、侵害學生權益的黑心校規，明顯違反「教育基本法」、「兒童權利公約」、「性別平等教育法」及教育部相關規範，且遍布公私立國高中小。近年來教育部修改諸多規定，多次督促學校改革。在范委員雲持續監督及合作下，教育部國民及學前教育署終於在110年6月底，辛苦地完成全台4,148所國高中小之校規檢視，找出241所仍有不合法校規之學校，為撲滅黑心校規的大工程踏出厚實的一步，此努力與辛勞應予肯定。後續第2步可分為3面向：1.111年1月、110學年度上學期結束前，國教署應督促這241所仍有黑心校規或法規不全的學校，完成修正；2.為因應許多民間團體所提到，少部分學校雖表面沒黑心校規，實際上卻利用權力不對等，未依法規執行、甚至繞道處罰學生，這種「黑心執行」也應一併撲滅。爰國教署應向所有學生宣導正確、符合學生權益之校規內涵及申訴方式，並搭配范委員雲針對「高級中等教育法」修法所提之申訴機制附帶決議，雙管齊下實質撲滅隱藏版黑心校規；3.徹查所有學校是否有針對LGBT學生的歧視性校規及政策，擬定計畫、要求1年內限期改善。綜上，請教育部國民及學前教育署針對上述3面向，擬定相關規劃及預定期程於6個月內向立法院教育及文化委員會提出書面報告。</w:t>
            </w:r>
          </w:p>
          <w:p w:rsidR="00366B4F" w:rsidRPr="00E64288" w:rsidRDefault="00366B4F" w:rsidP="00366B4F">
            <w:pPr>
              <w:pStyle w:val="affe"/>
              <w:spacing w:line="220" w:lineRule="exact"/>
              <w:ind w:left="283" w:hangingChars="100" w:hanging="283"/>
              <w:rPr>
                <w:rFonts w:hint="eastAsia"/>
                <w:sz w:val="28"/>
                <w:szCs w:val="28"/>
              </w:rPr>
            </w:pPr>
          </w:p>
        </w:tc>
      </w:tr>
      <w:tr w:rsidR="00A81FCC" w:rsidRPr="00E64288" w:rsidTr="00FA3958">
        <w:tc>
          <w:tcPr>
            <w:tcW w:w="714" w:type="dxa"/>
          </w:tcPr>
          <w:p w:rsidR="00A81FCC" w:rsidRPr="00E64288" w:rsidRDefault="004A6113" w:rsidP="00CF7A14">
            <w:pPr>
              <w:pStyle w:val="affe"/>
              <w:spacing w:line="400" w:lineRule="exact"/>
              <w:ind w:left="0" w:rightChars="0" w:right="0" w:firstLineChars="0" w:firstLine="0"/>
              <w:jc w:val="center"/>
              <w:rPr>
                <w:rFonts w:hint="eastAsia"/>
                <w:sz w:val="28"/>
                <w:szCs w:val="28"/>
              </w:rPr>
            </w:pPr>
            <w:r>
              <w:rPr>
                <w:rFonts w:hint="eastAsia"/>
                <w:sz w:val="28"/>
                <w:szCs w:val="28"/>
              </w:rPr>
              <w:t>3</w:t>
            </w:r>
            <w:r w:rsidR="00CF7A14">
              <w:rPr>
                <w:rFonts w:hint="eastAsia"/>
                <w:sz w:val="28"/>
                <w:szCs w:val="28"/>
              </w:rPr>
              <w:t>9</w:t>
            </w:r>
            <w:r w:rsidR="008B009C">
              <w:rPr>
                <w:rFonts w:hint="eastAsia"/>
                <w:sz w:val="28"/>
                <w:szCs w:val="28"/>
              </w:rPr>
              <w:t>.</w:t>
            </w:r>
          </w:p>
        </w:tc>
        <w:tc>
          <w:tcPr>
            <w:tcW w:w="7947" w:type="dxa"/>
            <w:shd w:val="clear" w:color="auto" w:fill="auto"/>
          </w:tcPr>
          <w:p w:rsidR="00A81FCC" w:rsidRPr="00E64288" w:rsidRDefault="00A81FCC" w:rsidP="00A81FCC">
            <w:pPr>
              <w:pStyle w:val="affe"/>
              <w:spacing w:line="400" w:lineRule="exact"/>
              <w:ind w:leftChars="-35" w:left="247" w:hangingChars="122" w:hanging="346"/>
              <w:rPr>
                <w:rFonts w:hint="eastAsia"/>
                <w:sz w:val="28"/>
                <w:szCs w:val="28"/>
              </w:rPr>
            </w:pPr>
            <w:r w:rsidRPr="00E64288">
              <w:rPr>
                <w:rFonts w:hint="eastAsia"/>
                <w:sz w:val="28"/>
                <w:szCs w:val="28"/>
              </w:rPr>
              <w:t>【教育及文化委員會-歲出部分-教育部主管-體育署】</w:t>
            </w:r>
          </w:p>
          <w:p w:rsidR="00A81FCC" w:rsidRPr="00E64288" w:rsidRDefault="00A81FCC" w:rsidP="00A81FCC">
            <w:pPr>
              <w:pStyle w:val="affe"/>
              <w:spacing w:line="400" w:lineRule="exact"/>
              <w:ind w:left="283" w:hangingChars="100" w:hanging="283"/>
              <w:rPr>
                <w:sz w:val="28"/>
                <w:szCs w:val="28"/>
              </w:rPr>
            </w:pPr>
            <w:r w:rsidRPr="00E64288">
              <w:rPr>
                <w:rFonts w:hint="eastAsia"/>
                <w:sz w:val="28"/>
                <w:szCs w:val="28"/>
              </w:rPr>
              <w:t>(三十五)范委員雲持續督導1年後，教育部體育署110年已督導各大賽事及全國性體育團體建立性騷擾事件申訴管道，並促使其公告相關資訊。此延滯3年之性別平等漏洞，終於初步補上。然體育署提交之書面報告中，未能提供各全國性體育團體實際執行之情形，且目前相關申訴資訊也未有統一彙整之頁面，不利民眾查詢與了解體育署現行推動之成果。范委員雲辦公室也收到民眾反映，擔心相關體育團體及賽事僅將其視為一次性交辦作業，後續便不更新相關資訊，或讓申訴管道淪為形式、申訴及通報機制未能確實發揮作用，致使體育署之努力未能達成預期之成效。為確保體育領域性騷擾防治之落實，請教育部體育署彙整體育署輔導之全國性體育團體或接受體育署補助單位各項活動之性騷擾防治措施及申訴管道資訊，自111年起公告於體育署官網且每年更新；另於教育部體育署官網自111年起公告每年全國各運動領域發生之性侵害、性騷擾、性霸凌案件統計，包含學校、各單項協會及各類賽事活動等領域，相關統計方式建請參照衛生福利部及教育部統計，並於3個月內向立法院教育及文化委員會提出書面報告。</w:t>
            </w:r>
          </w:p>
        </w:tc>
      </w:tr>
      <w:tr w:rsidR="00A81FCC" w:rsidRPr="00E64288" w:rsidTr="00FA3958">
        <w:tc>
          <w:tcPr>
            <w:tcW w:w="714" w:type="dxa"/>
          </w:tcPr>
          <w:p w:rsidR="00A81FCC" w:rsidRPr="00E64288" w:rsidRDefault="00CF7A14" w:rsidP="00A81FCC">
            <w:pPr>
              <w:pStyle w:val="affe"/>
              <w:spacing w:line="400" w:lineRule="exact"/>
              <w:ind w:left="0" w:rightChars="0" w:right="0" w:firstLineChars="0" w:firstLine="0"/>
              <w:jc w:val="center"/>
              <w:rPr>
                <w:rFonts w:hint="eastAsia"/>
                <w:sz w:val="28"/>
                <w:szCs w:val="28"/>
              </w:rPr>
            </w:pPr>
            <w:r>
              <w:rPr>
                <w:rFonts w:hint="eastAsia"/>
                <w:sz w:val="28"/>
                <w:szCs w:val="28"/>
              </w:rPr>
              <w:t>40</w:t>
            </w:r>
            <w:r w:rsidR="008B009C">
              <w:rPr>
                <w:rFonts w:hint="eastAsia"/>
                <w:sz w:val="28"/>
                <w:szCs w:val="28"/>
              </w:rPr>
              <w:t>.</w:t>
            </w:r>
          </w:p>
        </w:tc>
        <w:tc>
          <w:tcPr>
            <w:tcW w:w="7947" w:type="dxa"/>
            <w:shd w:val="clear" w:color="auto" w:fill="auto"/>
          </w:tcPr>
          <w:p w:rsidR="00A81FCC" w:rsidRPr="00E64288" w:rsidRDefault="00A81FCC" w:rsidP="00A81FCC">
            <w:pPr>
              <w:pStyle w:val="affe"/>
              <w:spacing w:line="400" w:lineRule="exact"/>
              <w:ind w:leftChars="-35" w:left="247" w:hangingChars="122" w:hanging="346"/>
              <w:rPr>
                <w:rFonts w:hint="eastAsia"/>
                <w:sz w:val="28"/>
                <w:szCs w:val="28"/>
              </w:rPr>
            </w:pPr>
            <w:r w:rsidRPr="00E64288">
              <w:rPr>
                <w:rFonts w:hint="eastAsia"/>
                <w:sz w:val="28"/>
                <w:szCs w:val="28"/>
              </w:rPr>
              <w:t>【教育及文化委員會-歲出部分-教育部主管-體育署】</w:t>
            </w:r>
          </w:p>
          <w:p w:rsidR="00A81FCC" w:rsidRPr="00E64288" w:rsidRDefault="00A81FCC" w:rsidP="00A81FCC">
            <w:pPr>
              <w:pStyle w:val="affe"/>
              <w:spacing w:line="400" w:lineRule="exact"/>
              <w:ind w:left="283" w:hangingChars="100" w:hanging="283"/>
              <w:rPr>
                <w:sz w:val="28"/>
                <w:szCs w:val="28"/>
              </w:rPr>
            </w:pPr>
            <w:r w:rsidRPr="00E64288">
              <w:rPr>
                <w:rFonts w:hint="eastAsia"/>
                <w:sz w:val="28"/>
                <w:szCs w:val="28"/>
              </w:rPr>
              <w:t>(三十九)針對我國女性規律運動人口長期低於男性，除有社會刻板印象不利女性運動習慣培養，亦有政策推廣及資源挹注失衡等因素，亟待教育部體育署導正。如國營事業投資體育隊伍女子隊僅5隊、女性選手僅55人，以及體育署補助特定體育團體辦理國內各級賽事，單一性別賽事中，2018至2020年男性賽事受補助金額皆高於女性賽事。爰為全面提升對女性運動參與、消弭女性面對之不利因素，請體育署通盤檢討現行獎補助民間舉辦體育賽事及運動休閒體驗之辦法，研議以保留名額、提升補助比例等優惠性差別待遇，實踐積極平等；另應於運動產業博覽會規劃女性運動專區，專區內容須包含女性或性別平等運動賽事介紹、媒合國、民企業或個人捐助女性體育團體或選手，以強化女性運動能見度。現行社會風氣及政府資源不足，導致女性除參與體育運動不易，女性生理期、第二性徵發育、生產前後之適應及狀態恢復，也導致其參與體育運動之規律性、強度和選擇體育作為職業生涯之成本較高，建議體育署於行政院「運動×科技SRB（產業策略會議）」中，將後續行動方案納入女性運動科研相關規劃，以平衡政策推廣及資源挹注失衡等因素。為持續增進女性運動權益達成性別平等目標，請教育部體育署就本議題於3個月內向立法院教育及文化委員會提出書面報告。</w:t>
            </w:r>
          </w:p>
        </w:tc>
      </w:tr>
      <w:tr w:rsidR="00A81FCC" w:rsidRPr="00E64288" w:rsidTr="00FA3958">
        <w:tc>
          <w:tcPr>
            <w:tcW w:w="714" w:type="dxa"/>
          </w:tcPr>
          <w:p w:rsidR="00A81FCC" w:rsidRPr="00E64288" w:rsidRDefault="004A6113" w:rsidP="00A81FCC">
            <w:pPr>
              <w:pStyle w:val="affe"/>
              <w:spacing w:line="400" w:lineRule="exact"/>
              <w:ind w:left="0" w:rightChars="0" w:right="0" w:firstLineChars="0" w:firstLine="0"/>
              <w:jc w:val="center"/>
              <w:rPr>
                <w:rFonts w:hint="eastAsia"/>
                <w:sz w:val="28"/>
                <w:szCs w:val="28"/>
              </w:rPr>
            </w:pPr>
            <w:r>
              <w:rPr>
                <w:rFonts w:hint="eastAsia"/>
                <w:sz w:val="28"/>
                <w:szCs w:val="28"/>
              </w:rPr>
              <w:t>4</w:t>
            </w:r>
            <w:r w:rsidR="00CF7A14">
              <w:rPr>
                <w:rFonts w:hint="eastAsia"/>
                <w:sz w:val="28"/>
                <w:szCs w:val="28"/>
              </w:rPr>
              <w:t>1</w:t>
            </w:r>
            <w:r w:rsidR="008B009C">
              <w:rPr>
                <w:rFonts w:hint="eastAsia"/>
                <w:sz w:val="28"/>
                <w:szCs w:val="28"/>
              </w:rPr>
              <w:t>.</w:t>
            </w:r>
          </w:p>
        </w:tc>
        <w:tc>
          <w:tcPr>
            <w:tcW w:w="7947" w:type="dxa"/>
            <w:shd w:val="clear" w:color="auto" w:fill="auto"/>
          </w:tcPr>
          <w:p w:rsidR="00A81FCC" w:rsidRPr="00E64288" w:rsidRDefault="00A81FCC" w:rsidP="00A81FCC">
            <w:pPr>
              <w:pStyle w:val="affe"/>
              <w:spacing w:line="400" w:lineRule="exact"/>
              <w:ind w:leftChars="-35" w:left="247" w:hangingChars="122" w:hanging="346"/>
              <w:rPr>
                <w:rFonts w:hint="eastAsia"/>
                <w:sz w:val="28"/>
                <w:szCs w:val="28"/>
              </w:rPr>
            </w:pPr>
            <w:r w:rsidRPr="00E64288">
              <w:rPr>
                <w:rFonts w:hint="eastAsia"/>
                <w:sz w:val="28"/>
                <w:szCs w:val="28"/>
              </w:rPr>
              <w:t>【教育及文化委員會-歲出部分-文化部主管-文化部】</w:t>
            </w:r>
          </w:p>
          <w:p w:rsidR="00A81FCC" w:rsidRPr="00E64288" w:rsidRDefault="00A81FCC" w:rsidP="00A81FCC">
            <w:pPr>
              <w:pStyle w:val="affe"/>
              <w:spacing w:line="400" w:lineRule="exact"/>
              <w:ind w:left="283" w:hangingChars="100" w:hanging="283"/>
              <w:rPr>
                <w:sz w:val="28"/>
                <w:szCs w:val="28"/>
              </w:rPr>
            </w:pPr>
            <w:r w:rsidRPr="00E64288">
              <w:rPr>
                <w:rFonts w:hint="eastAsia"/>
                <w:sz w:val="28"/>
                <w:szCs w:val="28"/>
              </w:rPr>
              <w:t>(四十一)有鑑於「亞洲同志運動聯盟Asia Pride Games Alliance」於110年10月在台成立揭牌，秘書處落腳台北，賴副總統清德、AIT美國在台協會馬文化官明遠、紀國策顧問政皆出席同賀，是體育外交、平權外交之重大斬獲。111年4月台灣更將主辦「亞洲同志運動會」，15項賽事不分性別、性向，只要支持平權者皆可報名，預計將有來自世界各國之選手及運動迷來台共襄盛舉。按該盛會歷年在各國舉辦之慣例及本屆規劃，除運動賽事外，另將有文化展覽、學術研討講座、時尚走秀等活動，深具文化外交與推廣意義，需跨部會整合資源，以利台灣後疫情時代首次主辦國際賽事發揮最大效益。建請文化部積極與教育部體育署針對2022亞洲同志運動會之政策支援與展演協力，研議提升補助並整合資源，擴大文化、觀光、外交之整體效益，並請於3個月內向立法院教育及文化委員會提出書面報告。</w:t>
            </w:r>
          </w:p>
        </w:tc>
      </w:tr>
      <w:tr w:rsidR="00A81FCC" w:rsidRPr="00E64288" w:rsidTr="00FA3958">
        <w:tc>
          <w:tcPr>
            <w:tcW w:w="714" w:type="dxa"/>
          </w:tcPr>
          <w:p w:rsidR="00A81FCC" w:rsidRPr="00E64288" w:rsidRDefault="004A6113" w:rsidP="00A81FCC">
            <w:pPr>
              <w:pStyle w:val="affe"/>
              <w:spacing w:line="400" w:lineRule="exact"/>
              <w:ind w:left="0" w:rightChars="0" w:right="0" w:firstLineChars="0" w:firstLine="0"/>
              <w:jc w:val="center"/>
              <w:rPr>
                <w:rFonts w:hint="eastAsia"/>
                <w:sz w:val="28"/>
                <w:szCs w:val="28"/>
              </w:rPr>
            </w:pPr>
            <w:r>
              <w:rPr>
                <w:rFonts w:hint="eastAsia"/>
                <w:sz w:val="28"/>
                <w:szCs w:val="28"/>
              </w:rPr>
              <w:t>4</w:t>
            </w:r>
            <w:r w:rsidR="00CF7A14">
              <w:rPr>
                <w:rFonts w:hint="eastAsia"/>
                <w:sz w:val="28"/>
                <w:szCs w:val="28"/>
              </w:rPr>
              <w:t>2</w:t>
            </w:r>
            <w:r w:rsidR="008B009C">
              <w:rPr>
                <w:rFonts w:hint="eastAsia"/>
                <w:sz w:val="28"/>
                <w:szCs w:val="28"/>
              </w:rPr>
              <w:t>.</w:t>
            </w:r>
          </w:p>
        </w:tc>
        <w:tc>
          <w:tcPr>
            <w:tcW w:w="7947" w:type="dxa"/>
            <w:shd w:val="clear" w:color="auto" w:fill="auto"/>
          </w:tcPr>
          <w:p w:rsidR="00A81FCC" w:rsidRPr="00E64288" w:rsidRDefault="00A81FCC" w:rsidP="00A81FCC">
            <w:pPr>
              <w:pStyle w:val="affe"/>
              <w:spacing w:line="400" w:lineRule="exact"/>
              <w:ind w:leftChars="-35" w:left="247" w:hangingChars="122" w:hanging="346"/>
              <w:rPr>
                <w:rFonts w:hint="eastAsia"/>
                <w:sz w:val="28"/>
                <w:szCs w:val="28"/>
              </w:rPr>
            </w:pPr>
            <w:r w:rsidRPr="00E64288">
              <w:rPr>
                <w:rFonts w:hint="eastAsia"/>
                <w:sz w:val="28"/>
                <w:szCs w:val="28"/>
              </w:rPr>
              <w:t>【教育及文化委員會-歲出部分-文化部主管-文化部】</w:t>
            </w:r>
          </w:p>
          <w:p w:rsidR="00A81FCC" w:rsidRPr="00E64288" w:rsidRDefault="00A81FCC" w:rsidP="00A81FCC">
            <w:pPr>
              <w:pStyle w:val="affe"/>
              <w:spacing w:line="400" w:lineRule="exact"/>
              <w:ind w:left="283" w:hangingChars="100" w:hanging="283"/>
              <w:rPr>
                <w:sz w:val="28"/>
                <w:szCs w:val="28"/>
              </w:rPr>
            </w:pPr>
            <w:r w:rsidRPr="00E64288">
              <w:rPr>
                <w:rFonts w:hint="eastAsia"/>
                <w:sz w:val="28"/>
                <w:szCs w:val="28"/>
              </w:rPr>
              <w:t>(六十八)110年年中行政法人國家表演藝術中心國家兩廳院舉辦Taiwan Week在文化界引發爭議，在舞蹈篇及戲劇篇的線上論壇，只有3位男性的台灣藝術家，與3位男性的外國藝術家進行對談；意即讓國際認識台灣的重要場域，僅有男性講者代表臺灣。本次事件引發民間策展人、劇場導演、現代舞創作者提出質疑，使得藝文界長年資源配置性別不平等的問題浮上檯面。包括：國際藝術節的戲劇節目從未有女性導演、兩廳院規劃節目由男性為主要創作的藝術家占多數、女性策劃導演的節目多在小劇場等，文化部所屬或補助的場館、表演、影視作品等，在資源分配、開拓不同觀點、甚至育成藝術家時，應創造多元發聲的藝文環境，將性別因素納入考量，以逐步突破國家文化資源長年性別不均的問題。請文化部就近3年所屬或補助之重要場館、表演、演視作品等之創作者進行性別統計及分析（例如兩廳院演出及舉辦活動之創作者），並評估及研議促進弱勢性別資源分配之方式（例如定期性別統計及分析、研擬指引等），並於111年6月前向立法院教育及文化委員會提出書面報告。</w:t>
            </w:r>
          </w:p>
        </w:tc>
      </w:tr>
      <w:tr w:rsidR="005D2575" w:rsidRPr="00E64288" w:rsidTr="00FA3958">
        <w:tc>
          <w:tcPr>
            <w:tcW w:w="714" w:type="dxa"/>
          </w:tcPr>
          <w:p w:rsidR="005D2575" w:rsidRPr="00E64288" w:rsidRDefault="004A6113" w:rsidP="004A6113">
            <w:pPr>
              <w:pStyle w:val="affe"/>
              <w:spacing w:line="400" w:lineRule="exact"/>
              <w:ind w:left="0" w:rightChars="0" w:right="0" w:firstLineChars="0" w:firstLine="0"/>
              <w:jc w:val="center"/>
              <w:rPr>
                <w:rFonts w:hint="eastAsia"/>
                <w:sz w:val="28"/>
                <w:szCs w:val="28"/>
              </w:rPr>
            </w:pPr>
            <w:r>
              <w:rPr>
                <w:rFonts w:hint="eastAsia"/>
                <w:sz w:val="28"/>
                <w:szCs w:val="28"/>
              </w:rPr>
              <w:t>4</w:t>
            </w:r>
            <w:r w:rsidR="00CF7A14">
              <w:rPr>
                <w:rFonts w:hint="eastAsia"/>
                <w:sz w:val="28"/>
                <w:szCs w:val="28"/>
              </w:rPr>
              <w:t>3</w:t>
            </w:r>
            <w:r w:rsidR="008B009C">
              <w:rPr>
                <w:rFonts w:hint="eastAsia"/>
                <w:sz w:val="28"/>
                <w:szCs w:val="28"/>
              </w:rPr>
              <w:t>.</w:t>
            </w:r>
          </w:p>
        </w:tc>
        <w:tc>
          <w:tcPr>
            <w:tcW w:w="7947" w:type="dxa"/>
            <w:shd w:val="clear" w:color="auto" w:fill="auto"/>
          </w:tcPr>
          <w:p w:rsidR="005D2575" w:rsidRPr="00E64288" w:rsidRDefault="005D2575" w:rsidP="005D2575">
            <w:pPr>
              <w:pStyle w:val="affe"/>
              <w:spacing w:line="400" w:lineRule="exact"/>
              <w:ind w:leftChars="-35" w:left="247" w:hangingChars="122" w:hanging="346"/>
              <w:rPr>
                <w:rFonts w:hint="eastAsia"/>
                <w:sz w:val="28"/>
                <w:szCs w:val="28"/>
              </w:rPr>
            </w:pPr>
            <w:r w:rsidRPr="00E64288">
              <w:rPr>
                <w:rFonts w:hint="eastAsia"/>
                <w:sz w:val="28"/>
                <w:szCs w:val="28"/>
              </w:rPr>
              <w:t>【教育及文化委員會-歲出部分-科技部主管-科技部】</w:t>
            </w:r>
          </w:p>
          <w:p w:rsidR="005D2575" w:rsidRPr="00E64288" w:rsidRDefault="005D2575" w:rsidP="005D2575">
            <w:pPr>
              <w:pStyle w:val="affe"/>
              <w:spacing w:line="400" w:lineRule="exact"/>
              <w:ind w:leftChars="-35" w:left="247" w:hangingChars="122" w:hanging="346"/>
              <w:rPr>
                <w:rFonts w:hint="eastAsia"/>
                <w:sz w:val="28"/>
                <w:szCs w:val="28"/>
              </w:rPr>
            </w:pPr>
            <w:r w:rsidRPr="00E64288">
              <w:rPr>
                <w:rFonts w:hint="eastAsia"/>
                <w:sz w:val="28"/>
                <w:szCs w:val="28"/>
              </w:rPr>
              <w:t>(一一六)科技部為強化性別平等政策，規劃該部及所屬新竹科學園區、中部科學園區及南部科學園區等3園區增設2至6歲員工子女公共化教保服務，期藉由提供員工友善育兒之職場環境，發揮鼓勵學研界跟進之示範效果。惟3園區補助規範未盡一致，科技部應督促3園區進一步探究相關補助規範之妥適性及執行成效，俾達保障婦女權益及促進其參與就業等補助目標。爰要求科技部應於3個月內，就「精進3園區企業托兒補助規範具體作為及一致準則」，向立法院教育及文化委員會提出書面報告。</w:t>
            </w:r>
          </w:p>
        </w:tc>
      </w:tr>
      <w:tr w:rsidR="005D2575" w:rsidRPr="00E64288" w:rsidTr="00FA3958">
        <w:tc>
          <w:tcPr>
            <w:tcW w:w="714" w:type="dxa"/>
          </w:tcPr>
          <w:p w:rsidR="005D2575" w:rsidRPr="00E64288" w:rsidRDefault="004A6113" w:rsidP="00A81FCC">
            <w:pPr>
              <w:pStyle w:val="affe"/>
              <w:spacing w:line="400" w:lineRule="exact"/>
              <w:ind w:left="0" w:rightChars="0" w:right="0" w:firstLineChars="0" w:firstLine="0"/>
              <w:jc w:val="center"/>
              <w:rPr>
                <w:rFonts w:hint="eastAsia"/>
                <w:sz w:val="28"/>
                <w:szCs w:val="28"/>
              </w:rPr>
            </w:pPr>
            <w:r>
              <w:rPr>
                <w:rFonts w:hint="eastAsia"/>
                <w:sz w:val="28"/>
                <w:szCs w:val="28"/>
              </w:rPr>
              <w:t>4</w:t>
            </w:r>
            <w:r w:rsidR="00CF7A14">
              <w:rPr>
                <w:rFonts w:hint="eastAsia"/>
                <w:sz w:val="28"/>
                <w:szCs w:val="28"/>
              </w:rPr>
              <w:t>4</w:t>
            </w:r>
            <w:r w:rsidR="008B009C">
              <w:rPr>
                <w:rFonts w:hint="eastAsia"/>
                <w:sz w:val="28"/>
                <w:szCs w:val="28"/>
              </w:rPr>
              <w:t>.</w:t>
            </w:r>
          </w:p>
        </w:tc>
        <w:tc>
          <w:tcPr>
            <w:tcW w:w="7947" w:type="dxa"/>
            <w:shd w:val="clear" w:color="auto" w:fill="auto"/>
          </w:tcPr>
          <w:p w:rsidR="005D2575" w:rsidRPr="00E64288" w:rsidRDefault="005D2575" w:rsidP="005D2575">
            <w:pPr>
              <w:pStyle w:val="affe"/>
              <w:spacing w:line="400" w:lineRule="exact"/>
              <w:ind w:leftChars="-35" w:left="247" w:hangingChars="122" w:hanging="346"/>
              <w:rPr>
                <w:rFonts w:hint="eastAsia"/>
                <w:sz w:val="28"/>
                <w:szCs w:val="28"/>
              </w:rPr>
            </w:pPr>
            <w:r w:rsidRPr="00E64288">
              <w:rPr>
                <w:rFonts w:hint="eastAsia"/>
                <w:sz w:val="28"/>
                <w:szCs w:val="28"/>
              </w:rPr>
              <w:t>【教育及文化委員會-歲出部分-科技部主管-科技部】</w:t>
            </w:r>
          </w:p>
          <w:p w:rsidR="005D2575" w:rsidRPr="00E64288" w:rsidRDefault="005D2575" w:rsidP="005D2575">
            <w:pPr>
              <w:pStyle w:val="affe"/>
              <w:spacing w:line="400" w:lineRule="exact"/>
              <w:ind w:leftChars="-35" w:left="247" w:hangingChars="122" w:hanging="346"/>
              <w:rPr>
                <w:rFonts w:hint="eastAsia"/>
                <w:sz w:val="28"/>
                <w:szCs w:val="28"/>
              </w:rPr>
            </w:pPr>
            <w:r w:rsidRPr="00E64288">
              <w:rPr>
                <w:rFonts w:hint="eastAsia"/>
                <w:sz w:val="28"/>
                <w:szCs w:val="28"/>
              </w:rPr>
              <w:t>(一一九)依立法院預算中心評估報告指出，107至110年度「鼓勵女性從事科學及技術研究專案計畫」申請件數分別為694件、606件、602件及517件，顯示女性科研人才相關計畫申請件數呈遞減趨勢。爰要求科技部針對女性科研人才減少研擬相關配套措施，並於3個月內向立法院教育及文化委員會提出檢討報告，俾落實性別平等政策。</w:t>
            </w:r>
          </w:p>
        </w:tc>
      </w:tr>
      <w:tr w:rsidR="005D2575" w:rsidRPr="00E64288" w:rsidTr="00FA3958">
        <w:tc>
          <w:tcPr>
            <w:tcW w:w="714" w:type="dxa"/>
          </w:tcPr>
          <w:p w:rsidR="005D2575" w:rsidRPr="00E64288" w:rsidRDefault="004A6113" w:rsidP="00A81FCC">
            <w:pPr>
              <w:pStyle w:val="affe"/>
              <w:spacing w:line="400" w:lineRule="exact"/>
              <w:ind w:left="0" w:rightChars="0" w:right="0" w:firstLineChars="0" w:firstLine="0"/>
              <w:jc w:val="center"/>
              <w:rPr>
                <w:rFonts w:hint="eastAsia"/>
                <w:sz w:val="28"/>
                <w:szCs w:val="28"/>
              </w:rPr>
            </w:pPr>
            <w:r>
              <w:rPr>
                <w:rFonts w:hint="eastAsia"/>
                <w:sz w:val="28"/>
                <w:szCs w:val="28"/>
              </w:rPr>
              <w:t>4</w:t>
            </w:r>
            <w:r w:rsidR="00CF7A14">
              <w:rPr>
                <w:rFonts w:hint="eastAsia"/>
                <w:sz w:val="28"/>
                <w:szCs w:val="28"/>
              </w:rPr>
              <w:t>5</w:t>
            </w:r>
            <w:r w:rsidR="008B009C">
              <w:rPr>
                <w:rFonts w:hint="eastAsia"/>
                <w:sz w:val="28"/>
                <w:szCs w:val="28"/>
              </w:rPr>
              <w:t>.</w:t>
            </w:r>
          </w:p>
        </w:tc>
        <w:tc>
          <w:tcPr>
            <w:tcW w:w="7947" w:type="dxa"/>
            <w:shd w:val="clear" w:color="auto" w:fill="auto"/>
          </w:tcPr>
          <w:p w:rsidR="005D2575" w:rsidRPr="00E64288" w:rsidRDefault="005D2575" w:rsidP="005D2575">
            <w:pPr>
              <w:pStyle w:val="affe"/>
              <w:spacing w:line="400" w:lineRule="exact"/>
              <w:ind w:leftChars="-35" w:left="247" w:hangingChars="122" w:hanging="346"/>
              <w:rPr>
                <w:rFonts w:hint="eastAsia"/>
                <w:sz w:val="28"/>
                <w:szCs w:val="28"/>
              </w:rPr>
            </w:pPr>
            <w:r w:rsidRPr="00E64288">
              <w:rPr>
                <w:rFonts w:hint="eastAsia"/>
                <w:sz w:val="28"/>
                <w:szCs w:val="28"/>
              </w:rPr>
              <w:t>【司法及法制委員會-歲出部分-行政院主管-人事行政總處】</w:t>
            </w:r>
          </w:p>
          <w:p w:rsidR="005D2575" w:rsidRPr="00E64288" w:rsidRDefault="005D2575" w:rsidP="005D2575">
            <w:pPr>
              <w:pStyle w:val="affe"/>
              <w:spacing w:line="400" w:lineRule="exact"/>
              <w:ind w:leftChars="-35" w:left="247" w:hangingChars="122" w:hanging="346"/>
              <w:rPr>
                <w:rFonts w:hint="eastAsia"/>
                <w:sz w:val="28"/>
                <w:szCs w:val="28"/>
              </w:rPr>
            </w:pPr>
            <w:r w:rsidRPr="00E64288">
              <w:rPr>
                <w:rFonts w:hint="eastAsia"/>
                <w:sz w:val="28"/>
                <w:szCs w:val="28"/>
              </w:rPr>
              <w:t>(五)有鑑於行政院人事行政總處於111年度預算中為辦公大樓廁所整修工程較上年度預算增列97萬元。為符合性別主流化並考量性別間之差異，人事行政總處於辦公大樓廁所整修工程中允宜考量增設女性專用廁所或性別友善廁所，以收性別平等之實效。爰請行政院人事行政總處向立法院司法及法制委員會針對辦公大樓廁所整修工程中如何增設女性專用廁所或性別友善廁所提出報告。</w:t>
            </w:r>
          </w:p>
        </w:tc>
      </w:tr>
      <w:tr w:rsidR="005D2575" w:rsidRPr="00E64288" w:rsidTr="00FA3958">
        <w:tc>
          <w:tcPr>
            <w:tcW w:w="714" w:type="dxa"/>
          </w:tcPr>
          <w:p w:rsidR="005D2575" w:rsidRPr="00E64288" w:rsidRDefault="004A6113" w:rsidP="00A81FCC">
            <w:pPr>
              <w:pStyle w:val="affe"/>
              <w:spacing w:line="400" w:lineRule="exact"/>
              <w:ind w:left="0" w:rightChars="0" w:right="0" w:firstLineChars="0" w:firstLine="0"/>
              <w:jc w:val="center"/>
              <w:rPr>
                <w:rFonts w:hint="eastAsia"/>
                <w:sz w:val="28"/>
                <w:szCs w:val="28"/>
              </w:rPr>
            </w:pPr>
            <w:r>
              <w:rPr>
                <w:rFonts w:hint="eastAsia"/>
                <w:sz w:val="28"/>
                <w:szCs w:val="28"/>
              </w:rPr>
              <w:t>4</w:t>
            </w:r>
            <w:r w:rsidR="00CF7A14">
              <w:rPr>
                <w:rFonts w:hint="eastAsia"/>
                <w:sz w:val="28"/>
                <w:szCs w:val="28"/>
              </w:rPr>
              <w:t>6</w:t>
            </w:r>
            <w:r w:rsidR="008B009C">
              <w:rPr>
                <w:rFonts w:hint="eastAsia"/>
                <w:sz w:val="28"/>
                <w:szCs w:val="28"/>
              </w:rPr>
              <w:t>.</w:t>
            </w:r>
          </w:p>
        </w:tc>
        <w:tc>
          <w:tcPr>
            <w:tcW w:w="7947" w:type="dxa"/>
            <w:shd w:val="clear" w:color="auto" w:fill="auto"/>
          </w:tcPr>
          <w:p w:rsidR="005D2575" w:rsidRPr="00E64288" w:rsidRDefault="005D2575" w:rsidP="005D2575">
            <w:pPr>
              <w:pStyle w:val="affe"/>
              <w:spacing w:line="400" w:lineRule="exact"/>
              <w:ind w:leftChars="-35" w:left="247" w:hangingChars="122" w:hanging="346"/>
              <w:rPr>
                <w:rFonts w:hint="eastAsia"/>
                <w:sz w:val="28"/>
                <w:szCs w:val="28"/>
              </w:rPr>
            </w:pPr>
            <w:r w:rsidRPr="00E64288">
              <w:rPr>
                <w:rFonts w:hint="eastAsia"/>
                <w:sz w:val="28"/>
                <w:szCs w:val="28"/>
              </w:rPr>
              <w:t>【司法及法制委員會-歲出部分-行政院主管-人事行政總處】</w:t>
            </w:r>
          </w:p>
          <w:p w:rsidR="005D2575" w:rsidRPr="00E64288" w:rsidRDefault="005D2575" w:rsidP="005D2575">
            <w:pPr>
              <w:pStyle w:val="affe"/>
              <w:spacing w:line="400" w:lineRule="exact"/>
              <w:ind w:leftChars="-35" w:left="247" w:hangingChars="122" w:hanging="346"/>
              <w:rPr>
                <w:rFonts w:hint="eastAsia"/>
                <w:sz w:val="28"/>
                <w:szCs w:val="28"/>
              </w:rPr>
            </w:pPr>
            <w:r w:rsidRPr="00E64288">
              <w:rPr>
                <w:rFonts w:hint="eastAsia"/>
                <w:sz w:val="28"/>
                <w:szCs w:val="28"/>
              </w:rPr>
              <w:t>(三十二)經查，110年12月28日，立法院修正通過「性別工作平等法」，將產檢次數增加為14次，「陪產假」修正「陪產檢及陪產假」，並由原5日擴增為7日，並配合有得申請生育補助之規定，以促進雙親均投入親職責任，落實職場育兒友善之精神。次查，現行勞工生育給付標準，以投保勞保之前6個月平均月投保薪資給付60日；公務人員則為2個月月薪俸額，兩者間應力求一致。綜上，公務人員之生育補助應配合此次性別工作平等法修法，並應力求勞、公兩者一致，請行政院人事行政總處於3個月內向立法院司法及法制委員會提出前揭事項書面報告。</w:t>
            </w:r>
          </w:p>
        </w:tc>
      </w:tr>
      <w:tr w:rsidR="005D2575" w:rsidRPr="00E64288" w:rsidTr="00FA3958">
        <w:tc>
          <w:tcPr>
            <w:tcW w:w="714" w:type="dxa"/>
          </w:tcPr>
          <w:p w:rsidR="005D2575" w:rsidRPr="00E64288" w:rsidRDefault="004A6113" w:rsidP="00A81FCC">
            <w:pPr>
              <w:pStyle w:val="affe"/>
              <w:spacing w:line="400" w:lineRule="exact"/>
              <w:ind w:left="0" w:rightChars="0" w:right="0" w:firstLineChars="0" w:firstLine="0"/>
              <w:jc w:val="center"/>
              <w:rPr>
                <w:rFonts w:hint="eastAsia"/>
                <w:sz w:val="28"/>
                <w:szCs w:val="28"/>
              </w:rPr>
            </w:pPr>
            <w:r>
              <w:rPr>
                <w:rFonts w:hint="eastAsia"/>
                <w:sz w:val="28"/>
                <w:szCs w:val="28"/>
              </w:rPr>
              <w:t>4</w:t>
            </w:r>
            <w:r w:rsidR="00CF7A14">
              <w:rPr>
                <w:rFonts w:hint="eastAsia"/>
                <w:sz w:val="28"/>
                <w:szCs w:val="28"/>
              </w:rPr>
              <w:t>7</w:t>
            </w:r>
            <w:r w:rsidR="00BE1070">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【司法及法制委員會-歲出部分-司法院主管-司法院】</w:t>
            </w:r>
          </w:p>
          <w:p w:rsidR="005D2575"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六十七)查為符合婚姻平權，尊重同性伴侶結婚權益，司法院已提出涉外民事適用法修正草案，開放本國人與未承認同婚國家國籍之人在本國為同婚登記，並通過司法院院會同意。惟查，草案尚未送立法院審議。請司法院儘速與行政院完成協調，將修正草案送立法院審議。</w:t>
            </w:r>
          </w:p>
        </w:tc>
      </w:tr>
      <w:tr w:rsidR="005D2575" w:rsidRPr="00E64288" w:rsidTr="00FA3958">
        <w:tc>
          <w:tcPr>
            <w:tcW w:w="714" w:type="dxa"/>
          </w:tcPr>
          <w:p w:rsidR="005D2575" w:rsidRPr="00E64288" w:rsidRDefault="004A6113" w:rsidP="00A81FCC">
            <w:pPr>
              <w:pStyle w:val="affe"/>
              <w:spacing w:line="400" w:lineRule="exact"/>
              <w:ind w:left="0" w:rightChars="0" w:right="0" w:firstLineChars="0" w:firstLine="0"/>
              <w:jc w:val="center"/>
              <w:rPr>
                <w:rFonts w:hint="eastAsia"/>
                <w:sz w:val="28"/>
                <w:szCs w:val="28"/>
              </w:rPr>
            </w:pPr>
            <w:r>
              <w:rPr>
                <w:rFonts w:hint="eastAsia"/>
                <w:sz w:val="28"/>
                <w:szCs w:val="28"/>
              </w:rPr>
              <w:t>4</w:t>
            </w:r>
            <w:r w:rsidR="00CF7A14">
              <w:rPr>
                <w:rFonts w:hint="eastAsia"/>
                <w:sz w:val="28"/>
                <w:szCs w:val="28"/>
              </w:rPr>
              <w:t>8</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【司法及法制委員會-歲出部分-考試院主管-銓敘部】</w:t>
            </w:r>
          </w:p>
          <w:p w:rsidR="005D2575"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十七)110年12月28日，立法院修正通過「性別工作平等法」，配合產檢次數增加為14次，「陪產假」修正「陪產檢及陪產假」，並由原5日擴增為7日，以促進雙親均投入親職責任，落實職場育兒友善之精神。性別工作平等法之適用對象，係包含勞工及公務員，惟前述陪產檢及陪產假之附屬法規，為「育嬰留職停薪實施辦法」，與公務人員適用之「公務人員請假規則」不同。銓敘部為落實此次性別工作平等法修法精神，刻正修正公務人員請假規則，使公、勞職場育兒政策均平等，爰請銓敘部就前揭事項，儘速研擬相關法規修正草案，於3個月內陳報考試院。</w:t>
            </w:r>
          </w:p>
        </w:tc>
      </w:tr>
      <w:tr w:rsidR="005D2575" w:rsidRPr="00E64288" w:rsidTr="00FA3958">
        <w:tc>
          <w:tcPr>
            <w:tcW w:w="714" w:type="dxa"/>
          </w:tcPr>
          <w:p w:rsidR="005D2575" w:rsidRPr="00E64288" w:rsidRDefault="004A6113" w:rsidP="00A81FCC">
            <w:pPr>
              <w:pStyle w:val="affe"/>
              <w:spacing w:line="400" w:lineRule="exact"/>
              <w:ind w:left="0" w:rightChars="0" w:right="0" w:firstLineChars="0" w:firstLine="0"/>
              <w:jc w:val="center"/>
              <w:rPr>
                <w:rFonts w:hint="eastAsia"/>
                <w:sz w:val="28"/>
                <w:szCs w:val="28"/>
              </w:rPr>
            </w:pPr>
            <w:r>
              <w:rPr>
                <w:rFonts w:hint="eastAsia"/>
                <w:sz w:val="28"/>
                <w:szCs w:val="28"/>
              </w:rPr>
              <w:t>4</w:t>
            </w:r>
            <w:r w:rsidR="00CF7A14">
              <w:rPr>
                <w:rFonts w:hint="eastAsia"/>
                <w:sz w:val="28"/>
                <w:szCs w:val="28"/>
              </w:rPr>
              <w:t>9</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【司法及法制委員會-歲出部分-法務部主管-法務部】</w:t>
            </w:r>
          </w:p>
          <w:p w:rsidR="005D2575"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十二)我國同性婚姻制度雖已合法，然而跨國同性伴侶卻受涉外民事法律適用法及內政部函釋見解的限制，僅有「雙方均來自同婚合法國家的當事人」能在台登記結婚，不符我國婚姻平權的意旨。110年5月6日，臺北高等行政法院做成判決要求行政機關撤銷原本拒絕跨國同性伴侶登記的處分，同時也要求直接准許當事人結婚。行政機關應參照臺北高等行政法院判決意旨，即刻撤回違法函釋並研議相關法案，使同性婚姻法制化全面落實。爰請法務部於3個月內向立法院司法及法制委員會提出書面報告。</w:t>
            </w:r>
          </w:p>
        </w:tc>
      </w:tr>
      <w:tr w:rsidR="008726D3" w:rsidRPr="00E64288" w:rsidTr="00FA3958">
        <w:tc>
          <w:tcPr>
            <w:tcW w:w="714" w:type="dxa"/>
          </w:tcPr>
          <w:p w:rsidR="008726D3" w:rsidRPr="00E64288" w:rsidRDefault="00CF7A14" w:rsidP="008726D3">
            <w:pPr>
              <w:pStyle w:val="affe"/>
              <w:spacing w:line="400" w:lineRule="exact"/>
              <w:ind w:left="0" w:rightChars="0" w:right="0" w:firstLineChars="0" w:firstLine="0"/>
              <w:jc w:val="center"/>
              <w:rPr>
                <w:rFonts w:hint="eastAsia"/>
                <w:sz w:val="28"/>
                <w:szCs w:val="28"/>
              </w:rPr>
            </w:pPr>
            <w:r>
              <w:rPr>
                <w:rFonts w:hint="eastAsia"/>
                <w:sz w:val="28"/>
                <w:szCs w:val="28"/>
              </w:rPr>
              <w:t>50</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【司法及法制委員會-歲出部分-法務部主管-法務部】</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十三)查我國2019年5月24日施行之司法院大法官釋字第748號解釋施行法第20條規定，相同性別之2人所成立之具有親密性及排他性之永久結合關係，其中一方收養他方之親生子女，得準用民法之規定。亦即，同性伴侶欲收養子女，僅得準用民法第1074條但書第1款關於繼親收養之規定，尚不得準用民法第1074條本文關於共同收養之規定。惟查，本法制定通過前，相關議題已於2014年10月16日立法院第8屆第6會期司法及法制委員會所舉行之「用平等的心把每一個人擁入憲法的懷抱─同性婚姻及同志收養議題」公聽會時，就曾為論辯，法務部當時曾表示，准否收養應著重於子女最佳利益，而彼時尚不認同同性婚姻之社會環境乃係不符子女最佳利益。然總體之社會環境縱非全然友善，尚不能逕論個別之子女必不能獲最佳利益，且即使被同性伴侶所收養之子女因社會環境不友善傾向，在收養需法院裁定及社工訪視追蹤之現行制度下，此事實亦僅足構成審核標準之差異之根據，猶難認係完全禁止之根據。</w:t>
            </w:r>
          </w:p>
          <w:p w:rsidR="008726D3" w:rsidRPr="00E64288" w:rsidRDefault="008726D3" w:rsidP="00091A04">
            <w:pPr>
              <w:pStyle w:val="affe"/>
              <w:spacing w:line="400" w:lineRule="exact"/>
              <w:ind w:leftChars="103" w:left="292" w:firstLineChars="204" w:firstLine="578"/>
              <w:rPr>
                <w:rFonts w:hint="eastAsia"/>
                <w:sz w:val="28"/>
                <w:szCs w:val="28"/>
              </w:rPr>
            </w:pPr>
            <w:r w:rsidRPr="00E64288">
              <w:rPr>
                <w:rFonts w:hint="eastAsia"/>
                <w:sz w:val="28"/>
                <w:szCs w:val="28"/>
              </w:rPr>
              <w:t>又查，於2019年5月14日該法審議時，社會環境已逐趨友善，同性伴侶之法制已是定論，同性伴侶得否共同收養之問題再為論辯，法務部當時曾表示，大法官第748號解釋不包含收養問題，而共同收養牽涉遺產繼承而有很多不同意見，而接續收養則因其可能為規避共同收養禁止之途逕，皆不宜於該次修法中處理，而應再行研議，故僅開放繼親收養。然於同性伴侶雙方皆無其他繼承人之情形，亦無共同收養會影響繼承之問題，一律禁止共同收養，暫不論其目的是否具正當性，亦已違反憲法上之比例原則。且收養將影響其他同順位之繼承人，僅為民法內之必然，並非該法作為特別法之必然，蓋作為特別法，若欲保障繼承人之權益，在立法上亦得為特別規定，讓繼承權益可能受影響之人（如依民法收養人為被繼承人，或被收養人可為收養人之代位繼承人之情形），得於同性伴侶為共同收養前，就被收養人之繼承資格及範圍與收養人為協議，協議完成後法院始得裁定共同收養。若連繼承權益可能受影響者都能接受共同收養在繼承方面的影響，一律禁止其共同收養，係毫無理由。況且，於異性伴侶共同收養時，亦有影響他人繼承權益之問題，何以僅於同性伴侶，第三人之繼承權益會構成禁止其共同收養之理據？</w:t>
            </w:r>
          </w:p>
          <w:p w:rsidR="008726D3" w:rsidRPr="00E64288" w:rsidRDefault="008726D3" w:rsidP="00091A04">
            <w:pPr>
              <w:pStyle w:val="affe"/>
              <w:spacing w:line="400" w:lineRule="exact"/>
              <w:ind w:leftChars="103" w:left="292" w:firstLineChars="204" w:firstLine="578"/>
              <w:rPr>
                <w:rFonts w:hint="eastAsia"/>
                <w:sz w:val="28"/>
                <w:szCs w:val="28"/>
              </w:rPr>
            </w:pPr>
            <w:r w:rsidRPr="00E64288">
              <w:rPr>
                <w:rFonts w:hint="eastAsia"/>
                <w:sz w:val="28"/>
                <w:szCs w:val="28"/>
              </w:rPr>
              <w:t>末查，該法通過施行後，立法院朝野亦持續就第20條規定排除共同收養之妥適性提出質疑，自2020年12月24日至今，已有4件法律案待審。法務部自2014年至今，就收養問題，縱已有多年時間研議如何權衡子女最佳利益之確保、同性伴侶權益之促進及避免繼承權益可能受影響之人之反彈等不同目標，並有充分時間擬具不同方案，與社會溝通尋求各團體之相互妥協和共識，然至今尚未見到法務部就該法第20條一律禁止共同收養之妥適性提出通盤檢討，爰請法務部於3個月內向立法院司法及法制委員會提交書面報告。</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5</w:t>
            </w:r>
            <w:r w:rsidR="00CF7A14">
              <w:rPr>
                <w:rFonts w:hint="eastAsia"/>
                <w:sz w:val="28"/>
                <w:szCs w:val="28"/>
              </w:rPr>
              <w:t>1</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【司法及法制委員會-歲出部分-法務部主管-法務部】</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三十九)參照司法院大法官釋字第712號解釋以及釋字第748號解釋之意旨，婚姻自由及收養自由均為我國憲法第22條所保障之個人自由權，且法律之規範應受憲法第7條平等權之拘束，則不應該因性傾向之不同而對各該權利有法律上之落差或差別待遇。依照我國現行收養相關法規，單身者不論性傾向皆能收養孩子，然司法院釋字第748號解釋施行法規範僅允許同志配偶收養配偶之親生子女，使同志並無法在婚後共同收養子女；又目前已收養子女之單身同志，在合法登記結婚後，其配偶也無法透過收養取得孩子的親權。上述法律規範所造成的落差，也造成第一線處理收養事務的社會工作人員難以處理的狀況，若擁有親權之一方發生意外，更將使得孩子面臨無法交由另一位共同生活的伴侶照顧之情形，而可能必須脫離現有家庭、回到安置機構，侵害孩子的權益與成長甚鉅。</w:t>
            </w:r>
          </w:p>
          <w:p w:rsidR="008726D3" w:rsidRPr="00E64288" w:rsidRDefault="008726D3" w:rsidP="00CF7A14">
            <w:pPr>
              <w:pStyle w:val="affe"/>
              <w:spacing w:line="400" w:lineRule="exact"/>
              <w:ind w:leftChars="103" w:left="292" w:firstLineChars="204" w:firstLine="578"/>
              <w:rPr>
                <w:rFonts w:hint="eastAsia"/>
                <w:sz w:val="28"/>
                <w:szCs w:val="28"/>
              </w:rPr>
            </w:pPr>
            <w:r w:rsidRPr="00E64288">
              <w:rPr>
                <w:rFonts w:hint="eastAsia"/>
                <w:sz w:val="28"/>
                <w:szCs w:val="28"/>
              </w:rPr>
              <w:t>爰此，俟法務部檢討司法院釋字第748號解釋施行法之配套措施及修法之必要性，並於3個月內向立法院司法及法制委員會提出書面報告。</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5</w:t>
            </w:r>
            <w:r w:rsidR="00CF7A14">
              <w:rPr>
                <w:rFonts w:hint="eastAsia"/>
                <w:sz w:val="28"/>
                <w:szCs w:val="28"/>
              </w:rPr>
              <w:t>2</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【司法及法制委員會-歲出部分-法務部主管-矯正署及所屬】</w:t>
            </w:r>
          </w:p>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 xml:space="preserve"> (十二)查兒童權利公約第3條第1項，「所有關係兒童之事務，無論是由公私社會福利機構、法院、行政機關或立法機關作為，均應以兒童最佳利益為優先考量」；第二項：「締約國承諾為確保兒童福祉所必要之保護與照顧，應考量其父母、法定監護人或其他對其負有法律責任者之權利及義務，並採取一切適當之立法及行政措施達成之。」我國已於2014年通過並施行兒童權利公約施行法，將兒童權利公約內國法化，明揭前述兒童最佳利益原則之重要性。惟現行監獄行刑法第12條，僅限入監或在監婦女得攜帶未滿三歲之子女入監，未能顧及未滿三歲兒童受其父親或其他主要照顧者妥適照顧之權益，與兒童最佳利益原則之精神有違。並將撫育子女之責任僅加諸於母親個人，亦與憲法第7條「中華民國人民，無分男女、宗教、種族、階級、黨派，在法律上一律平等」，保障之性別平等原則悖離。為落實兒童權利公約之兒童最佳利益保障原則及憲法第7條之平等原則，請法務部矯正署邀集衛生福利部、兒童及同志權益相關民間團體召開公聽會，並於3個月內向立法院司法及法制委員會提出書面報告。</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5</w:t>
            </w:r>
            <w:r w:rsidR="00CF7A14">
              <w:rPr>
                <w:rFonts w:hint="eastAsia"/>
                <w:sz w:val="28"/>
                <w:szCs w:val="28"/>
              </w:rPr>
              <w:t>3</w:t>
            </w:r>
            <w:r w:rsidR="008726D3" w:rsidRPr="00E64288">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【社會福利及衛生環境委員會-歲出部分-勞動部主管-勞動部】</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七)根據勞動部「育嬰留職停薪期滿復職關懷調查」顯示，男性申請育嬰留職停薪津貼比例未有明顯成長，107年男性申請比例為17.9%、108年為18.9%，109年卻下降到18.6%，且目前仍有7.2%的勞工在申請育嬰留職停薪時，曾經遭受事業機關或上級主管刁難，突顯勞動部相關政策宣導與推動不足，不利於落實勞工性別平權與改善少子女化問題。爰針對111年度勞動部「勞動保險業務」項下「受僱勞工育嬰留職停薪津貼加給補助經費」預算編列47億8,867萬3千元，凍結30萬元，俟勞動部針對提升男性申請育兒津貼，提出具體改善方案，向立法院社會福利及衛生環境委員會提出書面報告並經同意後，始得動支。</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5</w:t>
            </w:r>
            <w:r w:rsidR="00CF7A14">
              <w:rPr>
                <w:rFonts w:hint="eastAsia"/>
                <w:sz w:val="28"/>
                <w:szCs w:val="28"/>
              </w:rPr>
              <w:t>4</w:t>
            </w:r>
            <w:r w:rsidR="008726D3" w:rsidRPr="00E64288">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【社會福利及衛生環境委員會-歲出部分-勞動部主管-勞動部】</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(十五)111年度勞動部「勞動條件及就業平等業務」預算編列3億6,709萬4千元，合併凍結50萬元，俟勞動部就下列各案向立法院社會福利及衛生環境委員會提出報告並經同意後，始得動支。</w:t>
            </w:r>
          </w:p>
          <w:p w:rsidR="008726D3" w:rsidRPr="00E64288" w:rsidRDefault="008726D3" w:rsidP="008726D3">
            <w:pPr>
              <w:pStyle w:val="affe"/>
              <w:spacing w:line="400" w:lineRule="exact"/>
              <w:ind w:leftChars="125" w:left="612" w:hanging="258"/>
              <w:rPr>
                <w:rFonts w:hint="eastAsia"/>
                <w:sz w:val="28"/>
                <w:szCs w:val="28"/>
              </w:rPr>
            </w:pPr>
            <w:r w:rsidRPr="00E64288">
              <w:rPr>
                <w:rFonts w:hint="eastAsia"/>
                <w:sz w:val="28"/>
                <w:szCs w:val="28"/>
              </w:rPr>
              <w:t>7.110年8月20日司法院院台大二字第1100023798號令，大法官釋字第807號解釋文揭示，「勞動基準法」第49條第1項禁止女性夜間工作規定，違反憲法第7條保障性別平等之意旨，自本解釋文公布之日起失其效力。係爭規定，原以性別為區分標準，為追求保護女性勞工之人身安全、免於違反生理時鐘於夜間工作以維護其身體健康，並因此使人口結構穩定及整體社會世代健康安全等公共利益，而禁止雇主令女性勞工於夜間工作。為避免法律未經修正，除大法官宣布違憲之禁止女性夜間工作規定外，連動影響女性夜行權、人身安全保護等相關規定，與本條法律與其他法律條文之間相互之關聯性問題，應儘速提出法律修正方向。為利於立法院監督職權之行使，爰針對111年度勞動部「勞動條件及就業平等業務」預算編列3億6,709萬4千元，凍結50萬元，俟勞動部於1個月內提出「勞動基準法」第49條及因本條修正影響法律條文之修正方向，向立法院社會福利及衛生環境委員會提出書面報告並經同意後，始得動支。</w:t>
            </w:r>
          </w:p>
          <w:p w:rsidR="008726D3" w:rsidRPr="00E64288" w:rsidRDefault="008726D3" w:rsidP="008726D3">
            <w:pPr>
              <w:pStyle w:val="affe"/>
              <w:spacing w:line="400" w:lineRule="exact"/>
              <w:ind w:leftChars="125" w:left="612" w:hanging="258"/>
              <w:rPr>
                <w:rFonts w:hint="eastAsia"/>
                <w:sz w:val="28"/>
                <w:szCs w:val="28"/>
              </w:rPr>
            </w:pPr>
            <w:r w:rsidRPr="00E64288">
              <w:rPr>
                <w:rFonts w:hint="eastAsia"/>
                <w:sz w:val="28"/>
                <w:szCs w:val="28"/>
              </w:rPr>
              <w:t>8.有鑑於移工在台工作期間懷孕常被迫解僱轉出，或是於續聘申請期間以懷孕為由中止續聘程序。根據我國於1979年已簽訂之「消除對婦女一切形式歧視公約」第11條：「締約各國為使婦女不致因結婚或生育而受歧視，又為保障其有效的工作權利起見，應採取適當措施：禁止以懷孕或產假為理由予以解僱，以及以婚姻狀況為理由予以解僱的歧視，違反規定者予以制裁；實施帶薪產假或具有同等社會福利的產假，而不喪失原有工作、年資或社會津貼」。「性別工作平等法」第7條亦規定「雇主對求職者或受僱者之招募、甄試、進用、分發、配置、考績或陞遷等，不得因性別或性傾向而有差別待遇。」懷孕歧視亦屬性別歧視之情形。實務上，地方勞動主管機關與公立就業服務站對於懷孕移工處理狀況標準不一，常見未主動告知懷孕移工可接受安置及申訴之管道，甚至為維護勞工權益擅自將其轉出之情形。爰此，針對111年度勞動部「勞動條件及就業平等業務」預算編列3億6,709萬4千元，凍結50萬元，俟勞動部於2個月內邀請地方勞動主管機關與公立就業服務站檢討現況並統一服務標準，將相關紀錄送交立法院社會福利及衛生環境委員會及提案委員，並經同意後，始得動支。</w:t>
            </w:r>
          </w:p>
          <w:p w:rsidR="008726D3" w:rsidRPr="00E64288" w:rsidRDefault="008726D3" w:rsidP="008726D3">
            <w:pPr>
              <w:pStyle w:val="affe"/>
              <w:spacing w:line="400" w:lineRule="exact"/>
              <w:ind w:leftChars="125" w:left="779" w:hangingChars="150" w:hanging="425"/>
              <w:rPr>
                <w:rFonts w:hint="eastAsia"/>
                <w:sz w:val="28"/>
                <w:szCs w:val="28"/>
              </w:rPr>
            </w:pPr>
            <w:r w:rsidRPr="00E64288">
              <w:rPr>
                <w:rFonts w:hint="eastAsia"/>
                <w:sz w:val="28"/>
                <w:szCs w:val="28"/>
              </w:rPr>
              <w:t>10.110年5月台灣本土確診COVID-19案例增多，全國自5月19日升為三級警戒至7月27日，失業率於6月升至4.8%，約57萬人失業，細查性別失業率，近10年皆為男性較高，惟110年6至9月女性失業率高於男性，顯見疫情影響女性就業較男性顯著，爰針對111年度勞動部「勞動條件及就業平等業務」預算編列3億6,709萬4千元，凍結50萬元，俟勞動部針對疫情下之女性失業狀況進行瞭解，並向立法院社會福利及衛生環境委員會提出改善報告後，始得動支。</w:t>
            </w:r>
          </w:p>
          <w:p w:rsidR="008726D3" w:rsidRPr="00E64288" w:rsidRDefault="008726D3" w:rsidP="008726D3">
            <w:pPr>
              <w:pStyle w:val="affe"/>
              <w:spacing w:line="400" w:lineRule="exact"/>
              <w:ind w:leftChars="125" w:left="779" w:hangingChars="150" w:hanging="425"/>
              <w:rPr>
                <w:rFonts w:hint="eastAsia"/>
                <w:sz w:val="28"/>
                <w:szCs w:val="28"/>
              </w:rPr>
            </w:pPr>
            <w:r w:rsidRPr="00E64288">
              <w:rPr>
                <w:rFonts w:hint="eastAsia"/>
                <w:sz w:val="28"/>
                <w:szCs w:val="28"/>
              </w:rPr>
              <w:t>11.大法官於110年8月20日作出釋字第807號解釋，指「勞動基準法」第49條第1項，因違反憲法第7條保障性別平等之意旨，應自本解釋公布之日起失其效力。該條文的失效，讓原先課與雇主對女性夜間工作提供保障措施的責任，也一併失效，更剝奪了工會或勞資會議相對應之集體協商權。而第49條第5項對於妊娠、哺乳期間女性之特別保障，雖然勞動部聲明仍然適用，但法律效力上存有疑慮。爰此，急需啟動修法程序，結束系爭條文失效後之法律空窗期，讓不分性別勞工於夜間工作時，皆能受到應有的保障。立法院自釋字第807號解釋公布後，開議短短2個多月，已累積10個修法版本，足見各委員對於保障夜間工作勞工之重視；勞動部卻仍未提出修法版本，亦尚未見研究、研商或研議法案進度。爰針對111年度勞動部「勞動條件及就業平等業務」預算編列3億6,709萬4千元，凍結50萬元，俟勞動部提出回應釋字第807號解釋之修法草案版本，或於3個月內向立法院社會福利及衛生環境委員會提出修法進度之書面報告（且報告中規劃提出草案之期限不可超過釋字807號公布後1年內）並經同意後，始得動支。</w:t>
            </w:r>
          </w:p>
          <w:p w:rsidR="008726D3" w:rsidRPr="00E64288" w:rsidRDefault="008726D3" w:rsidP="008726D3">
            <w:pPr>
              <w:pStyle w:val="affe"/>
              <w:spacing w:line="400" w:lineRule="exact"/>
              <w:ind w:leftChars="125" w:left="779" w:hangingChars="150" w:hanging="425"/>
              <w:rPr>
                <w:rFonts w:hint="eastAsia"/>
                <w:sz w:val="28"/>
                <w:szCs w:val="28"/>
              </w:rPr>
            </w:pPr>
            <w:r w:rsidRPr="00E64288">
              <w:rPr>
                <w:rFonts w:hint="eastAsia"/>
                <w:sz w:val="28"/>
                <w:szCs w:val="28"/>
              </w:rPr>
              <w:t>14.「性別工作平等法」第13條明定「雇主應防治性騷擾行為之發生。其僱用受僱者三十人以上者，應訂定性騷擾防治措施、申訴及懲戒辦法，並在工作場所公開揭示」。惟經查，105年至今5年間，員工規模30人以上事業單位，有提供性騷擾防治措施之比例，僅從85.7上升至86.5%，代表全台仍有15%左右的事業單位，未依法提供性騷擾防治措施，顯見勞動部推動職場平權業務仍有不足。爰針對111年度勞動部「勞動條件及就業平等業務」預算編列3億6,709萬4千元，凍結50萬元，俟勞動部針對防治職場性騷擾，及督促事業單位依法提供性騷擾防治措施，提出具體改善方案，向立法院社會福利及衛生環境委員會提出書面報告並經同意後，始得動支。</w:t>
            </w:r>
          </w:p>
          <w:p w:rsidR="008726D3" w:rsidRPr="00E64288" w:rsidRDefault="008726D3" w:rsidP="008726D3">
            <w:pPr>
              <w:pStyle w:val="affe"/>
              <w:spacing w:line="400" w:lineRule="exact"/>
              <w:ind w:leftChars="125" w:left="779" w:hangingChars="150" w:hanging="425"/>
              <w:rPr>
                <w:rFonts w:hint="eastAsia"/>
                <w:sz w:val="28"/>
                <w:szCs w:val="28"/>
              </w:rPr>
            </w:pPr>
            <w:r w:rsidRPr="00E64288">
              <w:rPr>
                <w:rFonts w:hint="eastAsia"/>
                <w:sz w:val="28"/>
                <w:szCs w:val="28"/>
              </w:rPr>
              <w:t>15.現行「性別工作平等法」課予雇主防治職場性騷擾、處理員工申訴等義務，惟若員工遭遇雇主本人性騷擾，依現行法規員工仍須先向雇主申訴，無法逕向主管機關申訴啟動調查；雇主為行為人時仍由雇主處理申訴、調查案件，無異於與虎謀皮、形同虛設。對比「性騷擾防治法」中被申訴人為加害所屬單位最高負責人時，被害人逕向地方主管機關社會局申訴；以及「性別平等教育法」規定學校首長為行為人時應向教育部或教育局申訴。現行「性別工作平等法」規範顯有缺漏。范雲委員已多次質詢及提案追蹤前開法律缺漏，勞動部於110年6月30日針對相關附帶決議回覆大意為：本案須進一步釐清相關疑義，將持續蒐集意見，審慎研議。惟迄今已再歷時5個月，仍未有研議進度。爰針對111年度勞動部「勞動條件及就業平等業務」預算編列3億6,709萬4千元，凍結50萬元，要求勞動部應就雇主為行為人時之職場性騷擾申訴、調查、懲戒及裁罰等機制，提出制度性檢討，並於3個月內向立法院社會福利及衛生環境委員會提出書面報告並經同意後，始得動支。</w:t>
            </w:r>
          </w:p>
          <w:p w:rsidR="008726D3" w:rsidRPr="00E64288" w:rsidRDefault="008726D3" w:rsidP="008726D3">
            <w:pPr>
              <w:pStyle w:val="affe"/>
              <w:spacing w:line="400" w:lineRule="exact"/>
              <w:ind w:leftChars="125" w:left="779" w:hangingChars="150" w:hanging="425"/>
              <w:rPr>
                <w:rFonts w:hint="eastAsia"/>
                <w:sz w:val="28"/>
                <w:szCs w:val="28"/>
              </w:rPr>
            </w:pPr>
            <w:r w:rsidRPr="00E64288">
              <w:rPr>
                <w:rFonts w:hint="eastAsia"/>
                <w:sz w:val="28"/>
                <w:szCs w:val="28"/>
              </w:rPr>
              <w:t>16.為研議職場平等相關措施，111年度勞動部「勞動條件及就業平等業務」預算編列3億6,709萬4千元。2021年8月20日司法院作成釋字第807號解釋，宣告「勞動基準法」第49條第1項，對於「女性夜間工作」之規定違憲。當日，勞動部也宣布將依照司法院解釋文，檢視主管法令，落實性別平權。由於本法有規範雇主須提供夜間工作者必要的安全衛生設施，及安排搭乘交通工具等，而勞工原本可以領取「夜點費」、「交通津貼」或「夜間工作津貼」。然而本法失效後，勞工深夜的工作權益可能將受到影響。爰此，凍結是項預算50萬元。俟勞動部向立法院社會福利及衛生環境委員會提出「勞動基準法」第49條修正方向之書面報告並經同意後，始得動支。</w:t>
            </w:r>
          </w:p>
          <w:p w:rsidR="00CF7A14" w:rsidRPr="00E64288" w:rsidRDefault="008726D3" w:rsidP="00366B4F">
            <w:pPr>
              <w:pStyle w:val="affe"/>
              <w:spacing w:line="400" w:lineRule="exact"/>
              <w:ind w:leftChars="125" w:left="779" w:hangingChars="150" w:hanging="425"/>
              <w:rPr>
                <w:rFonts w:hint="eastAsia"/>
                <w:sz w:val="28"/>
                <w:szCs w:val="28"/>
              </w:rPr>
            </w:pPr>
            <w:r w:rsidRPr="00E64288">
              <w:rPr>
                <w:rFonts w:hint="eastAsia"/>
                <w:sz w:val="28"/>
                <w:szCs w:val="28"/>
              </w:rPr>
              <w:t>17.根據109年行政院主計總處「人力資源調查」，男性之15歲以上民間人口約為987萬2千人，其中勞動參與人數為663萬8千人，勞動參與率達67.24%；而相較之下，女性之15歲以上民間人口約為1,036萬，其中勞動參與人數532萬6千人，勞動參與率僅51.41%，顯示男女的勞動參與仍有不小的落差。經查我國109年非勞動力人數統計，男性為323萬3千人，女性則是503萬4千人，推測多數在家照顧及教養子女之責任，仍由女性所承擔，落實性別就業平等仍有不小的努力空間。爰此，針對111年度勞動部「勞動條件及就業平等業務」預算編列3億6,709萬4千元，凍結50萬元，俟勞動部研議具體措施以改善前述情形，並向立法院社會福利及衛生環境委員會提出書面報告並經同意後，始得動支。</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5</w:t>
            </w:r>
            <w:r w:rsidR="00CF7A14">
              <w:rPr>
                <w:rFonts w:hint="eastAsia"/>
                <w:sz w:val="28"/>
                <w:szCs w:val="28"/>
              </w:rPr>
              <w:t>5</w:t>
            </w:r>
            <w:r w:rsidR="008726D3" w:rsidRPr="00E64288">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【社會福利及衛生環境委員會-歲出部分-勞動部主管-勞動部】</w:t>
            </w:r>
          </w:p>
          <w:p w:rsidR="008726D3" w:rsidRPr="00E64288" w:rsidRDefault="008726D3" w:rsidP="008726D3">
            <w:pPr>
              <w:pStyle w:val="affe"/>
              <w:spacing w:line="400" w:lineRule="exact"/>
              <w:ind w:left="283" w:hangingChars="100" w:hanging="283"/>
              <w:rPr>
                <w:sz w:val="28"/>
                <w:szCs w:val="28"/>
              </w:rPr>
            </w:pPr>
            <w:r w:rsidRPr="00E64288">
              <w:rPr>
                <w:rFonts w:hint="eastAsia"/>
                <w:sz w:val="28"/>
                <w:szCs w:val="28"/>
              </w:rPr>
              <w:t>(四十三)行政院為因應少子女化現象，於107年7月核定「我國少子女化對策計畫（107至111年）」，其中「友善職場的育兒措施」、「鼓勵民間企業參與托育服務」等主要工作項目，其中育嬰留職停薪政策係自91年「性別工作平等法」通過後開始實施，惟109年度育嬰留職停薪申訴獲成立案件，未減反增。顯示勞動條件及就業平等業務宣導仍有待精進處，請勞動部於3個月內向立法院社會福利及衛生環境委員會提出「精進育嬰留職停薪政策宣導書面報告」。</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836"/>
              <w:gridCol w:w="760"/>
              <w:gridCol w:w="760"/>
              <w:gridCol w:w="761"/>
              <w:gridCol w:w="760"/>
              <w:gridCol w:w="761"/>
              <w:gridCol w:w="760"/>
              <w:gridCol w:w="761"/>
              <w:gridCol w:w="760"/>
              <w:gridCol w:w="761"/>
            </w:tblGrid>
            <w:tr w:rsidR="008726D3" w:rsidRPr="00E64288" w:rsidTr="006706A0">
              <w:trPr>
                <w:trHeight w:val="255"/>
              </w:trPr>
              <w:tc>
                <w:tcPr>
                  <w:tcW w:w="836" w:type="dxa"/>
                  <w:vMerge w:val="restart"/>
                  <w:shd w:val="clear" w:color="auto" w:fill="auto"/>
                  <w:vAlign w:val="center"/>
                  <w:hideMark/>
                </w:tcPr>
                <w:p w:rsidR="008726D3" w:rsidRPr="00E64288" w:rsidRDefault="008726D3" w:rsidP="00F32942">
                  <w:pPr>
                    <w:snapToGrid w:val="0"/>
                    <w:spacing w:line="0" w:lineRule="atLeast"/>
                    <w:ind w:leftChars="0" w:left="0" w:firstLineChars="0" w:firstLine="0"/>
                    <w:jc w:val="center"/>
                    <w:textAlignment w:val="center"/>
                    <w:rPr>
                      <w:snapToGrid/>
                      <w:sz w:val="24"/>
                      <w:szCs w:val="24"/>
                    </w:rPr>
                  </w:pPr>
                  <w:r w:rsidRPr="00E64288">
                    <w:rPr>
                      <w:snapToGrid/>
                      <w:sz w:val="24"/>
                      <w:szCs w:val="24"/>
                    </w:rPr>
                    <w:br w:type="page"/>
                  </w:r>
                  <w:r w:rsidRPr="00E64288">
                    <w:rPr>
                      <w:rFonts w:hint="eastAsia"/>
                      <w:snapToGrid/>
                      <w:sz w:val="24"/>
                      <w:szCs w:val="24"/>
                    </w:rPr>
                    <w:t>項目</w:t>
                  </w:r>
                  <w:bookmarkStart w:id="18" w:name="TA9836084"/>
                  <w:bookmarkEnd w:id="18"/>
                </w:p>
              </w:tc>
              <w:tc>
                <w:tcPr>
                  <w:tcW w:w="2281" w:type="dxa"/>
                  <w:gridSpan w:val="3"/>
                  <w:shd w:val="clear" w:color="auto" w:fill="auto"/>
                  <w:vAlign w:val="center"/>
                  <w:hideMark/>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r w:rsidRPr="00E64288">
                    <w:rPr>
                      <w:snapToGrid/>
                      <w:sz w:val="24"/>
                      <w:szCs w:val="24"/>
                    </w:rPr>
                    <w:t>107</w:t>
                  </w:r>
                  <w:r w:rsidRPr="00E64288">
                    <w:rPr>
                      <w:rFonts w:hint="eastAsia"/>
                      <w:snapToGrid/>
                      <w:sz w:val="24"/>
                      <w:szCs w:val="24"/>
                    </w:rPr>
                    <w:t>年度</w:t>
                  </w:r>
                </w:p>
              </w:tc>
              <w:tc>
                <w:tcPr>
                  <w:tcW w:w="2281" w:type="dxa"/>
                  <w:gridSpan w:val="3"/>
                  <w:shd w:val="clear" w:color="auto" w:fill="auto"/>
                  <w:vAlign w:val="center"/>
                  <w:hideMark/>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r w:rsidRPr="00E64288">
                    <w:rPr>
                      <w:snapToGrid/>
                      <w:sz w:val="24"/>
                      <w:szCs w:val="24"/>
                    </w:rPr>
                    <w:t>108</w:t>
                  </w:r>
                  <w:r w:rsidRPr="00E64288">
                    <w:rPr>
                      <w:rFonts w:hint="eastAsia"/>
                      <w:snapToGrid/>
                      <w:sz w:val="24"/>
                      <w:szCs w:val="24"/>
                    </w:rPr>
                    <w:t>年度</w:t>
                  </w:r>
                </w:p>
              </w:tc>
              <w:tc>
                <w:tcPr>
                  <w:tcW w:w="2282" w:type="dxa"/>
                  <w:gridSpan w:val="3"/>
                  <w:shd w:val="clear" w:color="auto" w:fill="auto"/>
                  <w:vAlign w:val="center"/>
                  <w:hideMark/>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r w:rsidRPr="00E64288">
                    <w:rPr>
                      <w:snapToGrid/>
                      <w:sz w:val="24"/>
                      <w:szCs w:val="24"/>
                    </w:rPr>
                    <w:t>109</w:t>
                  </w:r>
                  <w:r w:rsidRPr="00E64288">
                    <w:rPr>
                      <w:rFonts w:hint="eastAsia"/>
                      <w:snapToGrid/>
                      <w:sz w:val="24"/>
                      <w:szCs w:val="24"/>
                    </w:rPr>
                    <w:t>年度</w:t>
                  </w:r>
                </w:p>
              </w:tc>
            </w:tr>
            <w:tr w:rsidR="008726D3" w:rsidRPr="00E64288" w:rsidTr="006706A0">
              <w:trPr>
                <w:trHeight w:val="576"/>
              </w:trPr>
              <w:tc>
                <w:tcPr>
                  <w:tcW w:w="836" w:type="dxa"/>
                  <w:vMerge/>
                  <w:shd w:val="clear" w:color="auto" w:fill="auto"/>
                  <w:vAlign w:val="center"/>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p>
              </w:tc>
              <w:tc>
                <w:tcPr>
                  <w:tcW w:w="760" w:type="dxa"/>
                  <w:shd w:val="clear" w:color="auto" w:fill="auto"/>
                  <w:vAlign w:val="center"/>
                  <w:hideMark/>
                </w:tcPr>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受理</w:t>
                  </w:r>
                </w:p>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件數</w:t>
                  </w:r>
                </w:p>
              </w:tc>
              <w:tc>
                <w:tcPr>
                  <w:tcW w:w="760" w:type="dxa"/>
                  <w:shd w:val="clear" w:color="auto" w:fill="auto"/>
                  <w:vAlign w:val="center"/>
                  <w:hideMark/>
                </w:tcPr>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評議</w:t>
                  </w:r>
                </w:p>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件數</w:t>
                  </w:r>
                </w:p>
              </w:tc>
              <w:tc>
                <w:tcPr>
                  <w:tcW w:w="761" w:type="dxa"/>
                  <w:shd w:val="clear" w:color="auto" w:fill="auto"/>
                  <w:vAlign w:val="center"/>
                  <w:hideMark/>
                </w:tcPr>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成立</w:t>
                  </w:r>
                </w:p>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件數</w:t>
                  </w:r>
                </w:p>
              </w:tc>
              <w:tc>
                <w:tcPr>
                  <w:tcW w:w="760" w:type="dxa"/>
                  <w:shd w:val="clear" w:color="auto" w:fill="auto"/>
                  <w:vAlign w:val="center"/>
                  <w:hideMark/>
                </w:tcPr>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受理</w:t>
                  </w:r>
                </w:p>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件數</w:t>
                  </w:r>
                </w:p>
              </w:tc>
              <w:tc>
                <w:tcPr>
                  <w:tcW w:w="761" w:type="dxa"/>
                  <w:shd w:val="clear" w:color="auto" w:fill="auto"/>
                  <w:vAlign w:val="center"/>
                  <w:hideMark/>
                </w:tcPr>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評議</w:t>
                  </w:r>
                </w:p>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件數</w:t>
                  </w:r>
                </w:p>
              </w:tc>
              <w:tc>
                <w:tcPr>
                  <w:tcW w:w="760" w:type="dxa"/>
                  <w:shd w:val="clear" w:color="auto" w:fill="auto"/>
                  <w:vAlign w:val="center"/>
                  <w:hideMark/>
                </w:tcPr>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成立</w:t>
                  </w:r>
                </w:p>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件數</w:t>
                  </w:r>
                </w:p>
              </w:tc>
              <w:tc>
                <w:tcPr>
                  <w:tcW w:w="761" w:type="dxa"/>
                  <w:shd w:val="clear" w:color="auto" w:fill="auto"/>
                  <w:vAlign w:val="center"/>
                  <w:hideMark/>
                </w:tcPr>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受理</w:t>
                  </w:r>
                </w:p>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件數</w:t>
                  </w:r>
                </w:p>
              </w:tc>
              <w:tc>
                <w:tcPr>
                  <w:tcW w:w="760" w:type="dxa"/>
                  <w:shd w:val="clear" w:color="auto" w:fill="auto"/>
                  <w:vAlign w:val="center"/>
                  <w:hideMark/>
                </w:tcPr>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評議</w:t>
                  </w:r>
                </w:p>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件數</w:t>
                  </w:r>
                </w:p>
              </w:tc>
              <w:tc>
                <w:tcPr>
                  <w:tcW w:w="761" w:type="dxa"/>
                  <w:shd w:val="clear" w:color="auto" w:fill="auto"/>
                  <w:vAlign w:val="center"/>
                  <w:hideMark/>
                </w:tcPr>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成立</w:t>
                  </w:r>
                </w:p>
                <w:p w:rsidR="008726D3" w:rsidRPr="00E64288" w:rsidRDefault="008726D3" w:rsidP="008726D3">
                  <w:pPr>
                    <w:snapToGrid w:val="0"/>
                    <w:spacing w:line="0" w:lineRule="atLeast"/>
                    <w:ind w:leftChars="0" w:left="112" w:firstLineChars="0" w:hanging="198"/>
                    <w:jc w:val="center"/>
                    <w:textAlignment w:val="center"/>
                    <w:rPr>
                      <w:snapToGrid/>
                      <w:sz w:val="24"/>
                      <w:szCs w:val="24"/>
                    </w:rPr>
                  </w:pPr>
                  <w:r w:rsidRPr="00E64288">
                    <w:rPr>
                      <w:rFonts w:hint="eastAsia"/>
                      <w:snapToGrid/>
                      <w:sz w:val="24"/>
                      <w:szCs w:val="24"/>
                    </w:rPr>
                    <w:t>件數</w:t>
                  </w:r>
                </w:p>
              </w:tc>
            </w:tr>
            <w:tr w:rsidR="008726D3" w:rsidRPr="00E64288" w:rsidTr="006706A0">
              <w:trPr>
                <w:trHeight w:val="710"/>
              </w:trPr>
              <w:tc>
                <w:tcPr>
                  <w:tcW w:w="836" w:type="dxa"/>
                  <w:shd w:val="clear" w:color="auto" w:fill="auto"/>
                  <w:vAlign w:val="center"/>
                  <w:hideMark/>
                </w:tcPr>
                <w:p w:rsidR="008726D3" w:rsidRPr="00E64288" w:rsidRDefault="008726D3" w:rsidP="00F32942">
                  <w:pPr>
                    <w:snapToGrid w:val="0"/>
                    <w:spacing w:line="0" w:lineRule="atLeast"/>
                    <w:ind w:leftChars="0" w:left="0" w:firstLineChars="0" w:firstLine="0"/>
                    <w:jc w:val="center"/>
                    <w:textAlignment w:val="center"/>
                    <w:rPr>
                      <w:snapToGrid/>
                      <w:sz w:val="24"/>
                      <w:szCs w:val="24"/>
                    </w:rPr>
                  </w:pPr>
                  <w:r w:rsidRPr="00E64288">
                    <w:rPr>
                      <w:rFonts w:hint="eastAsia"/>
                      <w:snapToGrid/>
                      <w:sz w:val="24"/>
                      <w:szCs w:val="24"/>
                    </w:rPr>
                    <w:t>育嬰留職停薪</w:t>
                  </w:r>
                </w:p>
              </w:tc>
              <w:tc>
                <w:tcPr>
                  <w:tcW w:w="760" w:type="dxa"/>
                  <w:shd w:val="clear" w:color="auto" w:fill="auto"/>
                  <w:vAlign w:val="center"/>
                  <w:hideMark/>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r w:rsidRPr="00E64288">
                    <w:rPr>
                      <w:snapToGrid/>
                      <w:sz w:val="24"/>
                      <w:szCs w:val="24"/>
                    </w:rPr>
                    <w:t>43</w:t>
                  </w:r>
                </w:p>
              </w:tc>
              <w:tc>
                <w:tcPr>
                  <w:tcW w:w="760" w:type="dxa"/>
                  <w:shd w:val="clear" w:color="auto" w:fill="auto"/>
                  <w:vAlign w:val="center"/>
                  <w:hideMark/>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r w:rsidRPr="00E64288">
                    <w:rPr>
                      <w:snapToGrid/>
                      <w:sz w:val="24"/>
                      <w:szCs w:val="24"/>
                    </w:rPr>
                    <w:t>18</w:t>
                  </w:r>
                </w:p>
              </w:tc>
              <w:tc>
                <w:tcPr>
                  <w:tcW w:w="761" w:type="dxa"/>
                  <w:shd w:val="clear" w:color="auto" w:fill="auto"/>
                  <w:vAlign w:val="center"/>
                  <w:hideMark/>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r w:rsidRPr="00E64288">
                    <w:rPr>
                      <w:snapToGrid/>
                      <w:sz w:val="24"/>
                      <w:szCs w:val="24"/>
                    </w:rPr>
                    <w:t>7</w:t>
                  </w:r>
                </w:p>
              </w:tc>
              <w:tc>
                <w:tcPr>
                  <w:tcW w:w="760" w:type="dxa"/>
                  <w:shd w:val="clear" w:color="auto" w:fill="auto"/>
                  <w:vAlign w:val="center"/>
                  <w:hideMark/>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r w:rsidRPr="00E64288">
                    <w:rPr>
                      <w:snapToGrid/>
                      <w:sz w:val="24"/>
                      <w:szCs w:val="24"/>
                    </w:rPr>
                    <w:t>33</w:t>
                  </w:r>
                </w:p>
              </w:tc>
              <w:tc>
                <w:tcPr>
                  <w:tcW w:w="761" w:type="dxa"/>
                  <w:shd w:val="clear" w:color="auto" w:fill="auto"/>
                  <w:vAlign w:val="center"/>
                  <w:hideMark/>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r w:rsidRPr="00E64288">
                    <w:rPr>
                      <w:snapToGrid/>
                      <w:sz w:val="24"/>
                      <w:szCs w:val="24"/>
                    </w:rPr>
                    <w:t>20</w:t>
                  </w:r>
                </w:p>
              </w:tc>
              <w:tc>
                <w:tcPr>
                  <w:tcW w:w="760" w:type="dxa"/>
                  <w:shd w:val="clear" w:color="auto" w:fill="auto"/>
                  <w:vAlign w:val="center"/>
                  <w:hideMark/>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r w:rsidRPr="00E64288">
                    <w:rPr>
                      <w:snapToGrid/>
                      <w:sz w:val="24"/>
                      <w:szCs w:val="24"/>
                    </w:rPr>
                    <w:t>5</w:t>
                  </w:r>
                </w:p>
              </w:tc>
              <w:tc>
                <w:tcPr>
                  <w:tcW w:w="761" w:type="dxa"/>
                  <w:shd w:val="clear" w:color="auto" w:fill="auto"/>
                  <w:vAlign w:val="center"/>
                  <w:hideMark/>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r w:rsidRPr="00E64288">
                    <w:rPr>
                      <w:snapToGrid/>
                      <w:sz w:val="24"/>
                      <w:szCs w:val="24"/>
                    </w:rPr>
                    <w:t>30</w:t>
                  </w:r>
                </w:p>
              </w:tc>
              <w:tc>
                <w:tcPr>
                  <w:tcW w:w="760" w:type="dxa"/>
                  <w:shd w:val="clear" w:color="auto" w:fill="auto"/>
                  <w:vAlign w:val="center"/>
                  <w:hideMark/>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r w:rsidRPr="00E64288">
                    <w:rPr>
                      <w:snapToGrid/>
                      <w:sz w:val="24"/>
                      <w:szCs w:val="24"/>
                    </w:rPr>
                    <w:t>25</w:t>
                  </w:r>
                </w:p>
              </w:tc>
              <w:tc>
                <w:tcPr>
                  <w:tcW w:w="761" w:type="dxa"/>
                  <w:shd w:val="clear" w:color="auto" w:fill="auto"/>
                  <w:vAlign w:val="center"/>
                  <w:hideMark/>
                </w:tcPr>
                <w:p w:rsidR="008726D3" w:rsidRPr="00E64288" w:rsidRDefault="008726D3" w:rsidP="008726D3">
                  <w:pPr>
                    <w:snapToGrid w:val="0"/>
                    <w:spacing w:line="0" w:lineRule="atLeast"/>
                    <w:ind w:leftChars="0" w:left="198" w:firstLineChars="0" w:firstLine="198"/>
                    <w:jc w:val="center"/>
                    <w:textAlignment w:val="center"/>
                    <w:rPr>
                      <w:snapToGrid/>
                      <w:sz w:val="24"/>
                      <w:szCs w:val="24"/>
                    </w:rPr>
                  </w:pPr>
                  <w:r w:rsidRPr="00E64288">
                    <w:rPr>
                      <w:snapToGrid/>
                      <w:sz w:val="24"/>
                      <w:szCs w:val="24"/>
                    </w:rPr>
                    <w:t>9</w:t>
                  </w:r>
                </w:p>
              </w:tc>
            </w:tr>
          </w:tbl>
          <w:p w:rsidR="008726D3" w:rsidRPr="00E64288" w:rsidRDefault="008726D3" w:rsidP="008726D3">
            <w:pPr>
              <w:pStyle w:val="affe"/>
              <w:spacing w:line="400" w:lineRule="exact"/>
              <w:ind w:left="283" w:hangingChars="100" w:hanging="283"/>
              <w:rPr>
                <w:rFonts w:hint="eastAsia"/>
                <w:sz w:val="28"/>
                <w:szCs w:val="28"/>
              </w:rPr>
            </w:pP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56</w:t>
            </w:r>
            <w:r w:rsidR="008726D3" w:rsidRPr="00E64288">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【社會福利及衛生環境委員會-歲出部分-勞動部主管-勞動部】</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六十五)根據勞動部調查109年我國兩性薪資差距其最新資料顯示，109年工業及服務業男性受僱員工每人每月總薪資為5萬8,917元，總工時170.7小時，平均時薪345元；女性受僱員工每人每月總薪資為4萬8,807元，總工時165.9小時，平均時薪294元，女性平均時薪為男性之85.2%，兩性薪資差距為14.8%，較108年之14.9%，減少0.1個百分點；若與美、日、韓等國比較，低於日本之30.7%、韓國30.6%（108年）及美國17.7%。我國男女薪資雖逐年拉近，然男性仍高於女性，與其他先進國家相比仍有極大的進步空間，爰要求勞動部就如何拉近兩性薪資水平擬具相關書面報告，送立法院社會福利及衛生環境委員會。</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57</w:t>
            </w:r>
            <w:r w:rsidR="008726D3" w:rsidRPr="00E64288">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【社會福利及衛生環境委員會-歲出部分-勞動部主管-勞動部】</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六十六)查111年度勞動部預算案「勞動條件及就業平等業務」項下「促進職場平權，落實就業平等」計畫，主要在辦理督導縣市政府落實就業平等相關法令，消弭職場就業歧視。參照勞動部「育嬰留職停薪津貼核付情形」統計數據，我國現行申請育嬰留職停薪者仍是以女性為大宗，雖然男性有逐年增加，但相較女性仍是偏低，顯然我國國情文化仍是認為女性應在家帶孩子，爰要求勞動部宜強化相關宣導，導正國人兩性平權的概念，保障女性的工作與自主權益</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58</w:t>
            </w:r>
            <w:r w:rsidR="008726D3" w:rsidRPr="00E64288">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【社會福利及衛生環境委員會-歲出部分-勞動部主管-勞動部】</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一一一)司法院大法官於110年8月20日作成釋字第807解釋，明示「勞動基準法」第49條第1項規定因「以性別角色之窠臼，不當限制女性勞工夜間工作權，而對女性勞工形成差別待遇」，明顯違反「憲法」上保障之「性別平等」，揭示該規定應即刻失效。此項法規效力之變動，雖使雇主得於女性勞工同意後，直接為其安排夜間工作，惟個案中勞工如於夜間工作時有人身安全顧慮，勞動部雖建議雇主深夜加派人手，但因無實質規範，雇主恐無意願配合，夜間工作之勞工安全仍缺乏保障。對雇主日後應如何安排勞工於夜間工作，即產生是否符合相關法規之疑慮，有檢討改善之必要，請勞動部向立法院社會福利及衛生環境委員會提出書面報告詳細說明如何改善。</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59</w:t>
            </w:r>
            <w:r w:rsidR="008726D3" w:rsidRPr="00E64288">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【社會福利及衛生環境委員會-歲出部分-勞動部主管-勞動部】</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一四五)勞動部為配合行政院「少子女化對策－建構安心懷孕友善生養環境」政策，自110年7月1日起辦理受僱勞工育嬰留職停薪津貼加給2成之補助，與產檢假第6日及第7日薪資補助，110年下半年所需經費暫由就業保險基金短期週轉，111年再由公務預算償還；另勞動部宜積極協調完成相關「性別工作平等法」部分條文修正草案立法程序；並宜妥適揭露經費估算方式，以利預算審議，尚應定期公布辦理情形，俾利民眾瞭解其成效。</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60</w:t>
            </w:r>
            <w:r w:rsidR="008726D3" w:rsidRPr="00E64288">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【社會福利及環境衛生委員會-歲出部分-勞動部主管-勞動部】</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一五六)有鑑於司法院釋字第807號解釋宣告「勞動基準法」第49條第1項規定違反「憲法」第7條保障性別平等之意旨，並自公布之日起失其效力。惟查，我國針對夜間工作及輪班制勞工之勞動樣態，並未有全面且常態性之統計追蹤報告，對於後續如何修正「勞動基準法」相關規定，以提升相關工作者之保障，形成一大困難。為瞭解夜間工作及輪班制勞工之勞動實務樣態，成為後續制定政策之參考依據，爰要求勞動部應於3個月內盤點目前有關我國夜間工作及輪班制勞工之官方統計資料，並就未來展開最新勞動統計調查之計畫，向立法院社會福利及衛生環境委員會提出書面報告。</w:t>
            </w:r>
          </w:p>
        </w:tc>
      </w:tr>
      <w:tr w:rsidR="008726D3" w:rsidRPr="00E64288" w:rsidTr="001648B7">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6</w:t>
            </w:r>
            <w:r w:rsidR="00CF7A14">
              <w:rPr>
                <w:rFonts w:hint="eastAsia"/>
                <w:sz w:val="28"/>
                <w:szCs w:val="28"/>
              </w:rPr>
              <w:t>1</w:t>
            </w:r>
            <w:r w:rsidR="008726D3" w:rsidRPr="00E64288">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【社會福利及環境衛生委員會-歲出部分-勞動部主管-職業安全衛生署】</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二十二)大法官釋字第807號解釋，宣告「勞動基準法」第49條第1項規定違憲，釋憲結果雖有助於消除婦女就業歧視、提升對性別平等的保障，惟該條文違憲後，對於要求雇主提供女性夜間工作保護措施之法源依據，失所附麗，衝擊夜間工作者之權益，勞動部應盡速研擬配套，維護勞工於夜間工作之安全保障，爰要求勞動部職業安全衛生署1個月內盤點相關法規，提出修法以提供夜間工作者不分性別的健康保護。</w:t>
            </w:r>
          </w:p>
        </w:tc>
      </w:tr>
      <w:tr w:rsidR="008726D3" w:rsidRPr="00E64288" w:rsidTr="001648B7">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6</w:t>
            </w:r>
            <w:r w:rsidR="00CF7A14">
              <w:rPr>
                <w:rFonts w:hint="eastAsia"/>
                <w:sz w:val="28"/>
                <w:szCs w:val="28"/>
              </w:rPr>
              <w:t>2</w:t>
            </w:r>
            <w:r w:rsidR="008726D3" w:rsidRPr="00E64288">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【社會福利及環境衛生委員會-歲出部分-衛生福利部主管-衛生福利部】</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(五十五) 111年度衛生福利部「保護服務業務」預算編列10億8,004萬元。</w:t>
            </w:r>
            <w:r w:rsidR="00CF7A14" w:rsidRPr="00E64288">
              <w:rPr>
                <w:rFonts w:hint="eastAsia"/>
              </w:rPr>
              <w:t>…</w:t>
            </w:r>
            <w:r w:rsidRPr="00E64288">
              <w:rPr>
                <w:rFonts w:hint="eastAsia"/>
                <w:sz w:val="28"/>
                <w:szCs w:val="28"/>
              </w:rPr>
              <w:t>，根據衛生福利部數據顯示，106至109年，兒少性剝削案例的通報被害人數逐年增加，106及107年各通報1,060人，108年成長為1,211人，109年再增加至1,691人；尤其109年疫情爆發後，無論是就讀國小、國中或高中職的被害人數，均呈現明顯上升的趨勢，這些性剝削案例，絕大多數為「拍攝、製造兒少為性交或猥褻行為之物品」，且就讀國小的被害人數，從106年80人，至109年已上升至283人，約每6名兒少被害者中，就有1人是國小生，國小受害人與106年相較成長率高達253.8%，增加率遠高於國中到大學，顯見兒少性剝削議題的嚴重性。請衛生福利部於1個月內就強化兒少性剝削防制機制（兒少網路安全知能）向立法院社會福利及衛生環境委員會提出書面報告。</w:t>
            </w:r>
          </w:p>
        </w:tc>
      </w:tr>
      <w:tr w:rsidR="008726D3" w:rsidRPr="00E64288" w:rsidTr="001648B7">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6</w:t>
            </w:r>
            <w:r w:rsidR="00CF7A14">
              <w:rPr>
                <w:rFonts w:hint="eastAsia"/>
                <w:sz w:val="28"/>
                <w:szCs w:val="28"/>
              </w:rPr>
              <w:t>3</w:t>
            </w:r>
            <w:r w:rsidR="008726D3" w:rsidRPr="00E64288">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【社會福利及環境衛生委員會-歲出部分-衛生福利部主管-衛生福利部】</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五十六)111年度衛生福利部「保護服務業務」預算編列10億8,004萬元，辦理家庭暴力、性侵害、性騷擾防治、兒少保護業務。根據衛生福利部統計105年受虐兒少人數9,461人，109年增加到1萬2,610人，成長幅度達33%。再者，近年網路社群發達，透過網路社群造成之性騷擾、性侵害、性霸凌等情形大幅增加，相關法制或行政作為是否足以應付此類保護事件發生，亦應跨部會檢討協調，提出有效嚇阻作法，並加強宣導。請衛生福利部於3個月內就兒少性剝削修法進度及執行情形向立法院社會福利及衛生環境委員會提出書面報告。</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6</w:t>
            </w:r>
            <w:r w:rsidR="00CF7A14">
              <w:rPr>
                <w:rFonts w:hint="eastAsia"/>
                <w:sz w:val="28"/>
                <w:szCs w:val="28"/>
              </w:rPr>
              <w:t>4</w:t>
            </w:r>
            <w:r w:rsidR="008726D3" w:rsidRPr="00E64288">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【社會福利及環境衛生委員會-歲出部分-衛生福利部主管-衛生福利部】</w:t>
            </w:r>
          </w:p>
          <w:p w:rsidR="008726D3" w:rsidRPr="00E64288" w:rsidRDefault="008726D3" w:rsidP="008726D3">
            <w:pPr>
              <w:pStyle w:val="affe"/>
              <w:spacing w:line="400" w:lineRule="exact"/>
              <w:ind w:left="283" w:hangingChars="100" w:hanging="283"/>
            </w:pPr>
            <w:r w:rsidRPr="00E64288">
              <w:rPr>
                <w:rFonts w:hint="eastAsia"/>
                <w:sz w:val="28"/>
                <w:szCs w:val="28"/>
              </w:rPr>
              <w:t>(五十八)111年度衛生福利部「保護服務業務」預算編列10億8,004萬元，辦理有效督導及推動騷擾、家庭暴力、性侵害防治、兒童與少年保護及性剝削防制工作，提高相關行政效率及服務品質，與衛生福利部保護服務司負責家庭暴力、性侵害、性騷擾防治與老人、身心障礙者、兒童、少年保護政策之規劃、推動及相關法規之研擬、推動與督導等相關工作。然參據該部105至109年之家庭暴力被害保護扶助人次統計，發現除外國籍、大陸籍之保護扶助人次逐年降低外，本國籍與本國原住民籍之相關數據逐年增加。又參據該部性侵害被害人保護扶助人次統計，性侵扶助人次自105年逐年增加，從105年的21萬8,852人次到109年的39萬8,148人次，增加幅度之大令人驚恐，足見家暴與性侵案件在我國社會是極為嚴重，為強化我國性侵與家暴的防治工作，爰請衛生福利部研提家庭暴力及性侵害防治改善書面報告，送立法院社會福利及衛生環境委員會。</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6</w:t>
            </w:r>
            <w:r w:rsidR="00CF7A14">
              <w:rPr>
                <w:rFonts w:hint="eastAsia"/>
                <w:sz w:val="28"/>
                <w:szCs w:val="28"/>
              </w:rPr>
              <w:t>5</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【社會福利及環境衛生委員會-歲出部分-衛生福利部主管-衛生福利部】</w:t>
            </w:r>
          </w:p>
          <w:p w:rsidR="008726D3" w:rsidRPr="00E64288" w:rsidRDefault="008726D3" w:rsidP="008726D3">
            <w:pPr>
              <w:pStyle w:val="affe"/>
              <w:spacing w:line="400" w:lineRule="exact"/>
              <w:ind w:left="283" w:hangingChars="100" w:hanging="283"/>
            </w:pPr>
            <w:r w:rsidRPr="00E64288">
              <w:rPr>
                <w:rFonts w:hint="eastAsia"/>
                <w:sz w:val="28"/>
                <w:szCs w:val="28"/>
              </w:rPr>
              <w:t>(六十一)111年度衛生福利部「保護服務業務」預算編列10億8,004萬元，辦理有效督導及推動性騷擾、家庭暴力、性侵害防治、兒童與少年保護及性剝削防制工作，提高相關行政效率及服務品質，與衛生福利部保護服務司負責家庭暴力、性侵害、性騷擾防治與老人、身心障礙者、兒童、少年保政策之規劃、推動及相關法規之研擬、推動與督導等相關工作。然參據該部105至109年之家庭暴力被害人保護扶助人次統計，發現除外國籍、大陸籍之保護扶助人次逐年降低外，本國籍與本國原住民籍之相關數據逐年增加，此外近5年老人虐待、兒童虐待及性侵等案件也有逐年增加的情況，爰請衛生福利部持續積極推動強化社會安全網相關措施，優化保護服務輸送體系，提升風險控管。</w:t>
            </w:r>
          </w:p>
        </w:tc>
      </w:tr>
      <w:tr w:rsidR="008726D3" w:rsidRPr="00E64288" w:rsidTr="00FA3958">
        <w:tc>
          <w:tcPr>
            <w:tcW w:w="714" w:type="dxa"/>
          </w:tcPr>
          <w:p w:rsidR="008726D3" w:rsidRPr="002B1F93"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6</w:t>
            </w:r>
            <w:r w:rsidR="00CF7A14">
              <w:rPr>
                <w:rFonts w:hint="eastAsia"/>
                <w:sz w:val="28"/>
                <w:szCs w:val="28"/>
              </w:rPr>
              <w:t>6</w:t>
            </w:r>
            <w:r w:rsidR="00A0075F" w:rsidRPr="002B1F93">
              <w:rPr>
                <w:rFonts w:hint="eastAsia"/>
                <w:sz w:val="28"/>
                <w:szCs w:val="28"/>
              </w:rPr>
              <w:t>.</w:t>
            </w:r>
          </w:p>
        </w:tc>
        <w:tc>
          <w:tcPr>
            <w:tcW w:w="7947" w:type="dxa"/>
            <w:shd w:val="clear" w:color="auto" w:fill="auto"/>
          </w:tcPr>
          <w:p w:rsidR="008726D3" w:rsidRPr="002B1F93" w:rsidRDefault="008726D3" w:rsidP="008726D3">
            <w:pPr>
              <w:pStyle w:val="affe"/>
              <w:spacing w:line="400" w:lineRule="exact"/>
              <w:ind w:leftChars="-35" w:left="247" w:hangingChars="122" w:hanging="346"/>
              <w:rPr>
                <w:rFonts w:hint="eastAsia"/>
                <w:sz w:val="28"/>
                <w:szCs w:val="28"/>
              </w:rPr>
            </w:pPr>
            <w:r w:rsidRPr="002B1F93">
              <w:rPr>
                <w:rFonts w:hint="eastAsia"/>
                <w:sz w:val="28"/>
                <w:szCs w:val="28"/>
              </w:rPr>
              <w:t>【社會福利及環境衛生委員會-歲出部分-衛生福利部主管-衛生福利部】</w:t>
            </w:r>
          </w:p>
          <w:p w:rsidR="008726D3" w:rsidRPr="002B1F93" w:rsidRDefault="008726D3" w:rsidP="008726D3">
            <w:pPr>
              <w:pStyle w:val="affe"/>
              <w:spacing w:line="400" w:lineRule="exact"/>
              <w:ind w:left="283" w:hangingChars="100" w:hanging="283"/>
            </w:pPr>
            <w:r w:rsidRPr="002B1F93">
              <w:rPr>
                <w:rFonts w:hint="eastAsia"/>
                <w:sz w:val="28"/>
                <w:szCs w:val="28"/>
              </w:rPr>
              <w:t>(八十三)衛生福利部統計處「縣市別新生兒、嬰兒及孕產婦死亡概況」表，統計107至109年度我國各縣市孕產婦死亡率高於全國平均數前3名者計有台東縣、花蓮縣、澎湖縣、新竹市、南投縣及雲林縣等，該統計表有部分縣市雖因未提報導致數據缺漏，但花蓮縣、雲林縣及南投縣3年內有2年列入；另107年度台東縣、108年度澎湖縣及109年度南投縣，與各年度之全國平均死亡率之差距逾5倍。此外，從新生兒、嬰兒的死亡率亦可以發現，偏鄉地區數值由高，就以台東縣為例，109年台東縣嬰兒死亡率為9.6，但全國平均值為3.6。新生兒死亡率台東縣6.7，但全國平均值為2.4，台東縣前幾年相關數據雖有缺漏，從其他統計數據來看，亦可看出兒童與婦科醫療城鄉落差問題仍屬嚴峻，請衛生福利部於3個月內向立法院社會福利及衛生環境委員會提出改善偏遠地區嬰幼兒及產婦相關醫護能量書面報告。</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6</w:t>
            </w:r>
            <w:r w:rsidR="00CF7A14">
              <w:rPr>
                <w:rFonts w:hint="eastAsia"/>
                <w:sz w:val="28"/>
                <w:szCs w:val="28"/>
              </w:rPr>
              <w:t>7</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【社會福利及環境衛生委員會-歲出部分-衛生福利部主管-衛生福利部】</w:t>
            </w:r>
          </w:p>
          <w:p w:rsidR="008726D3" w:rsidRPr="00E64288" w:rsidRDefault="008726D3" w:rsidP="008726D3">
            <w:pPr>
              <w:pStyle w:val="affa"/>
              <w:spacing w:line="400" w:lineRule="exact"/>
              <w:ind w:left="283" w:hangingChars="100" w:hanging="283"/>
            </w:pPr>
            <w:r w:rsidRPr="00E64288">
              <w:rPr>
                <w:rFonts w:hAnsi="標楷體" w:cs="Arial" w:hint="eastAsia"/>
                <w:snapToGrid/>
              </w:rPr>
              <w:t>(一九七)111年度衛生福利部「綜合規劃業務」項下「政策推展」預算編列1,092萬3千元，凍結50萬元，要求衛生福利部透過相關行政指導措施，逐步提升前開6家基金會董監事之單一性別三分之一達成率，並於3個月內向立法院社會福利及衛生環境委員會提出書面報告後，始得動支。</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6</w:t>
            </w:r>
            <w:r w:rsidR="00CF7A14">
              <w:rPr>
                <w:rFonts w:hint="eastAsia"/>
                <w:sz w:val="28"/>
                <w:szCs w:val="28"/>
              </w:rPr>
              <w:t>8</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【社會福利及環境衛生委員會-歲出部分-衛生福利部主管-衛生福利部】</w:t>
            </w:r>
          </w:p>
          <w:p w:rsidR="008726D3" w:rsidRPr="00E64288" w:rsidRDefault="008726D3" w:rsidP="008726D3">
            <w:pPr>
              <w:spacing w:line="400" w:lineRule="exact"/>
              <w:ind w:leftChars="0" w:left="283" w:hangingChars="100" w:hanging="283"/>
              <w:textAlignment w:val="center"/>
              <w:rPr>
                <w:rFonts w:hAnsi="標楷體"/>
              </w:rPr>
            </w:pPr>
            <w:r w:rsidRPr="00E64288">
              <w:rPr>
                <w:rFonts w:hAnsi="標楷體" w:cs="Arial" w:hint="eastAsia"/>
                <w:snapToGrid/>
              </w:rPr>
              <w:t>(二二二)按「家庭暴力防治法」（下稱家暴法）第63條之1第1項：「被害人年滿十六歲，遭受現有或曾有親密關係之未同居伴侶施以身體或精神上不法侵害之情事者，準用……。」準用同法16條法條，惟未準用同法第3章刑事程序之部分，於是否達成防治家庭暴力行為及保護被害人權益之立法目的，不無疑問。另查衛生福利部保護服務司11月30日開記者會指出，根據每4年1次最新的台灣婦女遭受親密關係暴力調查報告，親密伴侶暴力終生盛行率為19.62%，亦即近1/5的女性一生中曾遭受親密伴侶暴力。家暴法第63條之1未能準用同法第30條之1對於得羈押嫌疑重大反覆實施家庭暴力罪之相對人及第31條對無羈押必要具保、責付、限制住居之相對人的禁制令規定，此導致被害人於遭受暴力後毫無保護程序，行為人仍可在保護令核發前之空窗期內進行再度加害直至保護令核可。要求衛生福利部研議「家庭暴力防治法」第63條之1第1項準用納入第3章刑事程序之相關規定，並於3個月向立法院社會福利及衛生環境委員會提出書面報告。</w:t>
            </w:r>
          </w:p>
        </w:tc>
      </w:tr>
      <w:tr w:rsidR="008726D3" w:rsidRPr="00E64288" w:rsidTr="00FA3958">
        <w:tc>
          <w:tcPr>
            <w:tcW w:w="714" w:type="dxa"/>
          </w:tcPr>
          <w:p w:rsidR="008726D3" w:rsidRPr="00E64288" w:rsidRDefault="00CF7A14" w:rsidP="008726D3">
            <w:pPr>
              <w:pStyle w:val="affe"/>
              <w:spacing w:line="400" w:lineRule="exact"/>
              <w:ind w:left="0" w:rightChars="0" w:right="0" w:firstLineChars="0" w:firstLine="0"/>
              <w:jc w:val="center"/>
              <w:rPr>
                <w:rFonts w:hint="eastAsia"/>
                <w:sz w:val="28"/>
                <w:szCs w:val="28"/>
              </w:rPr>
            </w:pPr>
            <w:r>
              <w:rPr>
                <w:rFonts w:hint="eastAsia"/>
                <w:sz w:val="28"/>
                <w:szCs w:val="28"/>
              </w:rPr>
              <w:t>69</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【社會福利及環境衛生委員會-歲出部分-衛生福利部主管-衛生福利部】</w:t>
            </w:r>
          </w:p>
          <w:p w:rsidR="008726D3" w:rsidRPr="00E64288" w:rsidRDefault="008726D3" w:rsidP="008726D3">
            <w:pPr>
              <w:pStyle w:val="affa"/>
              <w:spacing w:line="400" w:lineRule="exact"/>
              <w:ind w:left="283" w:hangingChars="100" w:hanging="283"/>
              <w:rPr>
                <w:rFonts w:hAnsi="標楷體"/>
              </w:rPr>
            </w:pPr>
            <w:r w:rsidRPr="00E64288">
              <w:rPr>
                <w:rFonts w:ascii="華康細明體" w:hint="eastAsia"/>
              </w:rPr>
              <w:t>(</w:t>
            </w:r>
            <w:r w:rsidRPr="00E64288">
              <w:rPr>
                <w:rFonts w:ascii="華康細明體" w:hint="eastAsia"/>
              </w:rPr>
              <w:t>二二三</w:t>
            </w:r>
            <w:r w:rsidRPr="00E64288">
              <w:rPr>
                <w:rFonts w:ascii="華康細明體" w:hint="eastAsia"/>
              </w:rPr>
              <w:t>)</w:t>
            </w:r>
            <w:r w:rsidRPr="00E64288">
              <w:rPr>
                <w:rFonts w:hint="eastAsia"/>
              </w:rPr>
              <w:t>按「性侵害犯罪防治法」第8條第1項：「醫事人員、社工人員、教育人員、保育人員、警察人員、勞政人員、司法人員、移民業務人員、矯正人員、村（里）幹事人員，於執行職務時知有疑似性侵害犯罪情事者，應立即向當地直轄市、縣（市）主管機關通報，至遲不得超過二十四小時。」相關人員於執行職務時知有疑似性侵害犯罪情事時，負有通報義務。惟按同法第2條第1項：「本法所稱性侵害犯罪，係指觸犯刑法第二百二十一條至第二百二十七條、第二百二十八條、第二百二十九條、第三百三十二條第二項第二款、第三百三十四條第二項第二款、第三百四十八條第二項第一款及其特別法之罪。」若比照韓國N號房事件，其初始及招募會員的階段，有關性剝削影音之拍攝、製作、傳播、恐嚇、販售、分享等，尚無通報機制之適用，對於能否達成防治性侵害犯罪及保護被害人權益之立法目的，不無疑問。爰要求衛生福利部研擬針對「性侵害犯罪防治法」、「兒童及少年性剝削防制條例」之修法進度，於3個月內向立法院社會福利及衛生環境委員會提出書面報告。</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7</w:t>
            </w:r>
            <w:r w:rsidR="00CF7A14">
              <w:rPr>
                <w:rFonts w:hint="eastAsia"/>
                <w:sz w:val="28"/>
                <w:szCs w:val="28"/>
              </w:rPr>
              <w:t>0</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【社會福利及環境衛生委員會-歲出部分-衛生福利部主管-衛生福利部】</w:t>
            </w:r>
          </w:p>
          <w:p w:rsidR="008726D3" w:rsidRPr="00E64288" w:rsidRDefault="008726D3" w:rsidP="008726D3">
            <w:pPr>
              <w:pStyle w:val="affa"/>
              <w:spacing w:line="400" w:lineRule="exact"/>
              <w:ind w:left="283" w:hangingChars="100" w:hanging="283"/>
              <w:rPr>
                <w:rFonts w:hAnsi="標楷體"/>
              </w:rPr>
            </w:pPr>
            <w:r w:rsidRPr="00E64288">
              <w:rPr>
                <w:rFonts w:hAnsi="標楷體" w:hint="eastAsia"/>
              </w:rPr>
              <w:t>(二二五)111年度衛生福利部預算案所編列之「保護服務業務」，其中「推展性別暴力防治」係用於撥充家庭暴力及性侵害防治基金辦理被害人保護扶助、性別暴力防治及教育推廣。據2021年衛生福利部最新公布的「臺灣婦女遭受親密關係暴力統計調查計畫」顯示，臺灣婦女遭受親密關係暴力後，高達四成未曾尋求協助，只有12%左右的受害者求助正式資源（社工、警察），多數人則是求助朋友、同事、親人等非正式資源，恐造成受害者預估人數與通報案件數間有所落差的黑數。另外，從2019年的通報統計來看，「原住民」受家暴的通報發生率是0.97%，「外國籍」則是2.1%，相較「本國籍非原住民」的通報率0.41%，原住民和外國籍分別是本國籍數字的2.4倍及5.1倍。衛生福利部針對受害者預估人數與通報案件數間的黑數以及移民及原住民族群高通報率現象，應積極檢討因應，發展多元友善的暴力防治教育宣導管道，並考量世代、族群、性別、城鄉發展的不同，提升相關資源和資訊，避免陷入長期暴力循環的困境。爰此，要求衛生福利部提出親密關係暴力防治書面報告送交立法院社會福利及衛生環境委員會。</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7</w:t>
            </w:r>
            <w:r w:rsidR="00CF7A14">
              <w:rPr>
                <w:rFonts w:hint="eastAsia"/>
                <w:sz w:val="28"/>
                <w:szCs w:val="28"/>
              </w:rPr>
              <w:t>1</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【社會福利及環境衛生委員會-歲出部分-衛生福利部主管-衛生福利部】</w:t>
            </w:r>
          </w:p>
          <w:p w:rsidR="008726D3" w:rsidRPr="00E64288" w:rsidRDefault="008726D3" w:rsidP="008726D3">
            <w:pPr>
              <w:spacing w:line="400" w:lineRule="exact"/>
              <w:ind w:leftChars="0" w:left="283" w:hangingChars="100" w:hanging="283"/>
              <w:textAlignment w:val="center"/>
              <w:rPr>
                <w:rFonts w:hAnsi="標楷體"/>
              </w:rPr>
            </w:pPr>
            <w:r w:rsidRPr="00E64288">
              <w:rPr>
                <w:rFonts w:ascii="華康細明體" w:hint="eastAsia"/>
              </w:rPr>
              <w:t>(</w:t>
            </w:r>
            <w:r w:rsidRPr="00E64288">
              <w:rPr>
                <w:rFonts w:ascii="華康細明體" w:hint="eastAsia"/>
              </w:rPr>
              <w:t>二二六</w:t>
            </w:r>
            <w:r w:rsidRPr="00E64288">
              <w:rPr>
                <w:rFonts w:ascii="華康細明體" w:hint="eastAsia"/>
              </w:rPr>
              <w:t>)</w:t>
            </w:r>
            <w:r w:rsidRPr="00E64288">
              <w:rPr>
                <w:rFonts w:hint="eastAsia"/>
              </w:rPr>
              <w:t>111年度衛生福利部預算案所編列之「保護服務業務」，其中「推展性別暴力防治」係用於撥充家庭暴力及性侵害防治基金辦理被害人保護扶助、性別暴力防治及教育推廣。「司法院釋字第七四八號解釋施行法」於108年5月24日施行，依該法第2條及第4條規定，相同性別之2人，得向戶政機關辦理結婚登記。惟「司法院釋字第七四八號解釋施行法」立法時，為減低社會對立與衝突，同性配偶之一方，無法與他方之血親成立姻親關係，致生解釋上同性配偶之一方與他方之血親、或他方血親之配偶發生暴力事件時，得否適用「家庭暴力防治法」產生疑義。實務上即曾發生同性配偶或前配偶之一方，與他方之直系或旁系血親發生暴力事件，卻無法依本法申請保護令，不受本法保護之窘境。為完備家庭暴力行為防治，時代力量立法院黨團已提出「家庭暴力防治法」修法版本，惟未見衛生福利部提出部版修法版本。爰要求衛生福利部研提相關書面報告送交立法院社會福利及衛生環境委員會。</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7</w:t>
            </w:r>
            <w:r w:rsidR="00CF7A14">
              <w:rPr>
                <w:rFonts w:hint="eastAsia"/>
                <w:sz w:val="28"/>
                <w:szCs w:val="28"/>
              </w:rPr>
              <w:t>2</w:t>
            </w:r>
            <w:r w:rsidR="00A0075F">
              <w:rPr>
                <w:rFonts w:hint="eastAsia"/>
                <w:sz w:val="28"/>
                <w:szCs w:val="28"/>
              </w:rPr>
              <w:t>.</w:t>
            </w:r>
          </w:p>
        </w:tc>
        <w:tc>
          <w:tcPr>
            <w:tcW w:w="7947" w:type="dxa"/>
            <w:shd w:val="clear" w:color="auto" w:fill="auto"/>
          </w:tcPr>
          <w:p w:rsidR="008726D3" w:rsidRPr="00E64288" w:rsidRDefault="008726D3" w:rsidP="00052825">
            <w:pPr>
              <w:pStyle w:val="affe"/>
              <w:spacing w:line="42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【社會福利及環境衛生委員會-歲出部分-衛生福利部主管-衛生福利部】</w:t>
            </w:r>
          </w:p>
          <w:p w:rsidR="008726D3" w:rsidRPr="00E64288" w:rsidRDefault="008726D3" w:rsidP="00052825">
            <w:pPr>
              <w:spacing w:line="420" w:lineRule="exact"/>
              <w:ind w:leftChars="0" w:left="283" w:hangingChars="100" w:hanging="283"/>
              <w:textAlignment w:val="center"/>
              <w:rPr>
                <w:rFonts w:hAnsi="標楷體"/>
              </w:rPr>
            </w:pPr>
            <w:r w:rsidRPr="00E64288">
              <w:rPr>
                <w:rFonts w:ascii="華康細明體" w:hint="eastAsia"/>
              </w:rPr>
              <w:t>(</w:t>
            </w:r>
            <w:r w:rsidRPr="00E64288">
              <w:rPr>
                <w:rFonts w:ascii="華康細明體" w:hint="eastAsia"/>
              </w:rPr>
              <w:t>二八三</w:t>
            </w:r>
            <w:r w:rsidRPr="00E64288">
              <w:rPr>
                <w:rFonts w:ascii="華康細明體" w:hint="eastAsia"/>
              </w:rPr>
              <w:t>)</w:t>
            </w:r>
            <w:r w:rsidRPr="00E64288">
              <w:rPr>
                <w:rFonts w:hint="eastAsia"/>
              </w:rPr>
              <w:t>根據衛生福利部110年底所發表的「台灣婦女遭受親密關係暴力統計調查」，顯示我國18至74歲曾有或現有親密伴侶的婦女中，每5人就有1人在其一生中曾遭受親密伴侶暴力對待。其中，以精神暴力的型態盛行率最高，肢體暴力居次，且在疫情之下，性暴力有上升趨勢，數位暴力亦不容忽視。近日屢傳家暴案件，有鑑於「家庭暴力防治法」施行20餘年，已浮現出法規存在漏洞、不合時宜或保護不夠周全的問題。爰請衛生福利部全面檢討「家庭暴力防治法」，納入親密關係暴力，並於3個月內研擬「家庭暴力防治法修正草案」提交立法院。</w:t>
            </w: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7</w:t>
            </w:r>
            <w:r w:rsidR="00CF7A14">
              <w:rPr>
                <w:rFonts w:hint="eastAsia"/>
                <w:sz w:val="28"/>
                <w:szCs w:val="28"/>
              </w:rPr>
              <w:t>3</w:t>
            </w:r>
            <w:r w:rsidR="00A0075F">
              <w:rPr>
                <w:rFonts w:hint="eastAsia"/>
                <w:sz w:val="28"/>
                <w:szCs w:val="28"/>
              </w:rPr>
              <w:t>.</w:t>
            </w:r>
          </w:p>
        </w:tc>
        <w:tc>
          <w:tcPr>
            <w:tcW w:w="7947" w:type="dxa"/>
            <w:shd w:val="clear" w:color="auto" w:fill="auto"/>
          </w:tcPr>
          <w:p w:rsidR="008726D3" w:rsidRPr="00F6743C" w:rsidRDefault="008726D3" w:rsidP="00052825">
            <w:pPr>
              <w:pStyle w:val="affe"/>
              <w:spacing w:line="420" w:lineRule="exact"/>
              <w:ind w:leftChars="-35" w:left="247" w:hangingChars="122" w:hanging="346"/>
              <w:rPr>
                <w:rFonts w:hint="eastAsia"/>
                <w:sz w:val="28"/>
                <w:szCs w:val="28"/>
              </w:rPr>
            </w:pPr>
            <w:r w:rsidRPr="00F6743C">
              <w:rPr>
                <w:rFonts w:hint="eastAsia"/>
                <w:sz w:val="28"/>
                <w:szCs w:val="28"/>
              </w:rPr>
              <w:t>【社會福利及環境衛生委員會-歲出部分-衛生福利部主管-衛生福利部】</w:t>
            </w:r>
          </w:p>
          <w:p w:rsidR="00052825" w:rsidRDefault="008726D3" w:rsidP="00052825">
            <w:pPr>
              <w:spacing w:line="420" w:lineRule="exact"/>
              <w:ind w:leftChars="0" w:left="283" w:hangingChars="100" w:hanging="283"/>
              <w:textAlignment w:val="center"/>
            </w:pPr>
            <w:r w:rsidRPr="00F6743C">
              <w:rPr>
                <w:rFonts w:ascii="華康細明體" w:hint="eastAsia"/>
              </w:rPr>
              <w:t>(</w:t>
            </w:r>
            <w:r w:rsidRPr="00F6743C">
              <w:rPr>
                <w:rFonts w:hint="eastAsia"/>
              </w:rPr>
              <w:t>二八九</w:t>
            </w:r>
            <w:r w:rsidRPr="00F6743C">
              <w:rPr>
                <w:rFonts w:ascii="華康細明體" w:hint="eastAsia"/>
              </w:rPr>
              <w:t>)</w:t>
            </w:r>
            <w:r w:rsidRPr="00F6743C">
              <w:rPr>
                <w:rFonts w:hint="eastAsia"/>
              </w:rPr>
              <w:t>據法務部統計，近3年全台共有6,568人因涉嫌兒少性剝削案件被警方移送地檢署偵辦，卻只有1,463人被起訴，起訴比例只有22.3%；2020年起起訴占比更提高為45.4%，首度高於不起訴處分，其中以「拍攝、製造兒童或少年為性交或猥褻行為之物品」被起訴比例最高。在地方法院的判決結果也發現，高達57.9%的兒少性剝削案件只判處6個月以下徒刑，僅有2.1%被判處5年以上有期徒刑。鑑於我國兒少剝削問題持續升高，且我國針對持有兒少性剝削影像者僅規定行政罰鍰、罰金及輔導教育，不如歐美各國直接將此犯罪行為處以徒刑。爰此，請衛生福利部針對國內兒少性剝削案件數及比例逐步攀升一事進行研究調查，並研議相關修法、強化罰則之可能性。爰請衛生福利部賡續加速修法進度，及早報立法院審查。</w:t>
            </w:r>
          </w:p>
          <w:p w:rsidR="00052825" w:rsidRPr="00052825" w:rsidRDefault="00052825" w:rsidP="00052825">
            <w:pPr>
              <w:spacing w:line="80" w:lineRule="exact"/>
              <w:ind w:leftChars="0" w:left="283" w:hangingChars="100" w:hanging="283"/>
              <w:textAlignment w:val="center"/>
              <w:rPr>
                <w:rFonts w:hint="eastAsia"/>
              </w:rPr>
            </w:pPr>
          </w:p>
        </w:tc>
      </w:tr>
      <w:tr w:rsidR="008726D3" w:rsidRPr="00E64288" w:rsidTr="00FA3958">
        <w:tc>
          <w:tcPr>
            <w:tcW w:w="714" w:type="dxa"/>
          </w:tcPr>
          <w:p w:rsidR="008726D3" w:rsidRPr="00E64288" w:rsidRDefault="004A6113" w:rsidP="008726D3">
            <w:pPr>
              <w:pStyle w:val="affe"/>
              <w:spacing w:line="400" w:lineRule="exact"/>
              <w:ind w:left="0" w:rightChars="0" w:right="0" w:firstLineChars="0" w:firstLine="0"/>
              <w:jc w:val="center"/>
              <w:rPr>
                <w:rFonts w:hint="eastAsia"/>
                <w:sz w:val="28"/>
                <w:szCs w:val="28"/>
              </w:rPr>
            </w:pPr>
            <w:r>
              <w:rPr>
                <w:rFonts w:hint="eastAsia"/>
                <w:sz w:val="28"/>
                <w:szCs w:val="28"/>
              </w:rPr>
              <w:t>7</w:t>
            </w:r>
            <w:r w:rsidR="00CF7A14">
              <w:rPr>
                <w:rFonts w:hint="eastAsia"/>
                <w:sz w:val="28"/>
                <w:szCs w:val="28"/>
              </w:rPr>
              <w:t>4</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【社會福利及環境衛生委員會-歲出部分-衛生福利部主管-衛生福利部】</w:t>
            </w:r>
          </w:p>
          <w:p w:rsidR="008726D3" w:rsidRPr="00E64288" w:rsidRDefault="008726D3" w:rsidP="008726D3">
            <w:pPr>
              <w:spacing w:line="400" w:lineRule="exact"/>
              <w:ind w:leftChars="0" w:left="283" w:hangingChars="100" w:hanging="283"/>
              <w:textAlignment w:val="center"/>
              <w:rPr>
                <w:rFonts w:hAnsi="標楷體"/>
              </w:rPr>
            </w:pPr>
            <w:r w:rsidRPr="00E64288">
              <w:rPr>
                <w:rFonts w:ascii="華康細明體" w:hint="eastAsia"/>
              </w:rPr>
              <w:t>(</w:t>
            </w:r>
            <w:r w:rsidRPr="00E64288">
              <w:rPr>
                <w:rFonts w:hint="eastAsia"/>
              </w:rPr>
              <w:t>二九一</w:t>
            </w:r>
            <w:r w:rsidRPr="00E64288">
              <w:rPr>
                <w:rFonts w:ascii="華康細明體" w:hint="eastAsia"/>
              </w:rPr>
              <w:t>)</w:t>
            </w:r>
            <w:r w:rsidRPr="00E64288">
              <w:rPr>
                <w:rFonts w:hint="eastAsia"/>
              </w:rPr>
              <w:t>鑑於近年來全球資訊通訊及數位紀錄技術的普及與發展，以致近年來多起侵害他人性隱私之犯罪案件快速增加，此類型之犯罪多同時伴隨性隱私影像之散布或播送等行為，影響被害人身心受創甚鉅，且若為以網路平台做為散播媒介，現行難有法規得即時命其將影像下架。爰此，為利防治侵犯性隱私之犯罪、確實保護被害人，及預防犯罪加害人之再犯，並得利用公權力要求網際網路平台提供者將之下架並保全資料協助司法調查，爰請衛生福利部加速修法進度，及早報立法院審查。</w:t>
            </w:r>
          </w:p>
        </w:tc>
      </w:tr>
      <w:tr w:rsidR="008726D3" w:rsidRPr="00E64288" w:rsidTr="00FA3958">
        <w:tc>
          <w:tcPr>
            <w:tcW w:w="714" w:type="dxa"/>
          </w:tcPr>
          <w:p w:rsidR="008726D3" w:rsidRPr="00E64288" w:rsidRDefault="004A6113" w:rsidP="00D37B6D">
            <w:pPr>
              <w:pStyle w:val="affe"/>
              <w:spacing w:line="400" w:lineRule="exact"/>
              <w:ind w:left="0" w:rightChars="0" w:right="0" w:firstLineChars="0" w:firstLine="0"/>
              <w:jc w:val="center"/>
              <w:rPr>
                <w:rFonts w:hint="eastAsia"/>
                <w:sz w:val="28"/>
                <w:szCs w:val="28"/>
              </w:rPr>
            </w:pPr>
            <w:r>
              <w:rPr>
                <w:rFonts w:hint="eastAsia"/>
                <w:sz w:val="28"/>
                <w:szCs w:val="28"/>
              </w:rPr>
              <w:t>7</w:t>
            </w:r>
            <w:r w:rsidR="00CF7A14">
              <w:rPr>
                <w:rFonts w:hint="eastAsia"/>
                <w:sz w:val="28"/>
                <w:szCs w:val="28"/>
              </w:rPr>
              <w:t>5</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【社會福利及環境衛生委員會-歲出部分-衛生福利部主管-國民健康署】</w:t>
            </w:r>
          </w:p>
          <w:p w:rsidR="008726D3" w:rsidRPr="00E64288" w:rsidRDefault="008726D3" w:rsidP="008726D3">
            <w:pPr>
              <w:pStyle w:val="affa"/>
              <w:spacing w:line="400" w:lineRule="exact"/>
              <w:ind w:left="283" w:hangingChars="100" w:hanging="283"/>
            </w:pPr>
            <w:r w:rsidRPr="00E64288">
              <w:rPr>
                <w:rFonts w:hint="eastAsia"/>
              </w:rPr>
              <w:t>(二十)2019年聯合國報告指出，長期低生育率根本原因是「育兒與家務強烈性別分工不均」，可見男性參與育兒，是少子化的重要解方。但衛生福利部國民健康署於110年7月推行的育兒新制，僅為新增4次產檢（且搭配勞動部新增2日產檢假，但仍僅有懷孕者可請，未新增任何孕婦配偶之相關措施）；顯對鼓勵男性育兒、改變照顧工作分配不均的現況，缺乏實質助益。另台灣的產檢長期為疾病篩檢導向，極度缺乏制度內的生產教育；即便每次產檢都參加，甚至選擇自費項目，懷孕者的疑問與焦慮仍無法獲得解答。為創造更好的孕產經驗與親職實踐，提升產檢之質量，真正建立友善且性別平等的生養環境，除產檢次數外，更重要的是在懷孕過程中提供孕婦及其配偶完備的產前教育。爰要求衛生福利部國民健康署研擬推動除現行產檢外的產前教育（如：生產準備課程、減痛措施、產後照護、親職準備、伴侶關係等）之規劃，且需重視性別平等，提供孕婦及其配偶；並針對現有「孕婦健康手冊」長期忽略伴侶角色進行全面檢討（如增加配偶內容、修正名稱等），並於3個月內向立法院社會福利及衛生環境委員會提出書面報告。</w:t>
            </w:r>
          </w:p>
        </w:tc>
      </w:tr>
      <w:tr w:rsidR="008726D3" w:rsidRPr="00E64288" w:rsidTr="00FA3958">
        <w:tc>
          <w:tcPr>
            <w:tcW w:w="714" w:type="dxa"/>
          </w:tcPr>
          <w:p w:rsidR="008726D3" w:rsidRPr="00E64288" w:rsidRDefault="004A6113" w:rsidP="00D37B6D">
            <w:pPr>
              <w:pStyle w:val="affe"/>
              <w:spacing w:line="400" w:lineRule="exact"/>
              <w:ind w:left="0" w:rightChars="0" w:right="0" w:firstLineChars="0" w:firstLine="0"/>
              <w:jc w:val="center"/>
              <w:rPr>
                <w:rFonts w:hint="eastAsia"/>
                <w:sz w:val="28"/>
                <w:szCs w:val="28"/>
              </w:rPr>
            </w:pPr>
            <w:r>
              <w:rPr>
                <w:rFonts w:hint="eastAsia"/>
                <w:sz w:val="28"/>
                <w:szCs w:val="28"/>
              </w:rPr>
              <w:t>7</w:t>
            </w:r>
            <w:r w:rsidR="00CF7A14">
              <w:rPr>
                <w:rFonts w:hint="eastAsia"/>
                <w:sz w:val="28"/>
                <w:szCs w:val="28"/>
              </w:rPr>
              <w:t>6</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【社會福利及環境衛生委員會-歲出部分-衛生福利部主管-國民健康署】</w:t>
            </w:r>
          </w:p>
          <w:p w:rsidR="008726D3" w:rsidRPr="00E64288" w:rsidRDefault="008726D3" w:rsidP="008726D3">
            <w:pPr>
              <w:pStyle w:val="affa"/>
              <w:spacing w:line="400" w:lineRule="exact"/>
              <w:ind w:left="283" w:hangingChars="100" w:hanging="283"/>
            </w:pPr>
            <w:r w:rsidRPr="00E64288">
              <w:rPr>
                <w:rFonts w:hint="eastAsia"/>
              </w:rPr>
              <w:t>(二十六)感染高致癌性人類乳突病毒（Humanppilomavirus，HPV）是導致子宮頸癌的主因，目前上市人類乳突病毒（HPV疫苗）都可預防因人類乳突病毒第16、18型感染所引起的子宮頸癌。台灣因持續推廣子宮頸抹片檢查與HPV疫苗注射，國內子宮頸癌盛行率逐年降低，然而除子宮頸癌外，亦有其他癌症被證實與HPV有關，肛門癌、陰道癌、陰莖癌、口腔癌、外陰癌與HPV之歸因性分別是88、78、55、31、25%，除前述部分癌症之盛行不分性別，且根據國際研究結果，男性一生中感染HPV之機率超過91%，反而高過女性感染HPV之機率84%，因此，目前全世界已有43個國家及地區實施男女共同施打。我國目前HPV疫苗核准四價可用於9至26歲男性疫苗接種、九價可用於9至45歲男性疫苗接種，爰建請衛生福利部國民健康署持續宣導男性施打HPV疫苗之重要性，且研議將男性納入免費接種HPV疫苗之對象。</w:t>
            </w:r>
          </w:p>
        </w:tc>
      </w:tr>
      <w:tr w:rsidR="008726D3" w:rsidRPr="00E64288" w:rsidTr="00FA3958">
        <w:tc>
          <w:tcPr>
            <w:tcW w:w="714" w:type="dxa"/>
          </w:tcPr>
          <w:p w:rsidR="008726D3" w:rsidRPr="00E64288" w:rsidRDefault="004A6113" w:rsidP="00D37B6D">
            <w:pPr>
              <w:pStyle w:val="affe"/>
              <w:spacing w:line="400" w:lineRule="exact"/>
              <w:ind w:left="0" w:rightChars="0" w:right="0" w:firstLineChars="0" w:firstLine="0"/>
              <w:jc w:val="center"/>
              <w:rPr>
                <w:rFonts w:hint="eastAsia"/>
                <w:sz w:val="28"/>
                <w:szCs w:val="28"/>
              </w:rPr>
            </w:pPr>
            <w:r>
              <w:rPr>
                <w:rFonts w:hint="eastAsia"/>
                <w:sz w:val="28"/>
                <w:szCs w:val="28"/>
              </w:rPr>
              <w:t>7</w:t>
            </w:r>
            <w:r w:rsidR="00CF7A14">
              <w:rPr>
                <w:rFonts w:hint="eastAsia"/>
                <w:sz w:val="28"/>
                <w:szCs w:val="28"/>
              </w:rPr>
              <w:t>7</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【社會福利及環境衛生委員會-歲出部分-衛生福利部主管-國民健康署】</w:t>
            </w:r>
          </w:p>
          <w:p w:rsidR="008726D3" w:rsidRPr="00E64288" w:rsidRDefault="008726D3" w:rsidP="008726D3">
            <w:pPr>
              <w:pStyle w:val="affa"/>
              <w:spacing w:line="400" w:lineRule="exact"/>
              <w:ind w:left="283" w:hangingChars="100" w:hanging="283"/>
            </w:pPr>
            <w:r w:rsidRPr="00E64288">
              <w:rPr>
                <w:rFonts w:hint="eastAsia"/>
              </w:rPr>
              <w:t>(二十七)有鑑於HPV人類乳突病毒有接近200種類型，部分類型會透過性行為感染人類生殖器及周邊皮膚，且男性因為感染HPV以後，產生抗體的能力較差，致癌的風險比女性高很多。惟衛生福利部國民健康署實施國一女生公費接種HPV疫苗政策已逾3年，對於男性接種則無相關政策，顯示欠缺對於男性健康權之保護。爰請衛生福利部國民健康署針對男性公費接種HPV疫苗之政策可行性進行評估，並於3個月內提交書面報告至立法院社會福利及衛生環境委員會。</w:t>
            </w:r>
          </w:p>
        </w:tc>
      </w:tr>
      <w:tr w:rsidR="008726D3" w:rsidRPr="00E64288" w:rsidTr="00FA3958">
        <w:tc>
          <w:tcPr>
            <w:tcW w:w="714" w:type="dxa"/>
          </w:tcPr>
          <w:p w:rsidR="008726D3" w:rsidRPr="00E64288" w:rsidRDefault="00D37B6D" w:rsidP="008726D3">
            <w:pPr>
              <w:pStyle w:val="affe"/>
              <w:spacing w:line="400" w:lineRule="exact"/>
              <w:ind w:left="0" w:rightChars="0" w:right="0" w:firstLineChars="0" w:firstLine="0"/>
              <w:jc w:val="center"/>
              <w:rPr>
                <w:rFonts w:hint="eastAsia"/>
                <w:sz w:val="28"/>
                <w:szCs w:val="28"/>
              </w:rPr>
            </w:pPr>
            <w:r>
              <w:rPr>
                <w:rFonts w:hint="eastAsia"/>
                <w:sz w:val="28"/>
                <w:szCs w:val="28"/>
              </w:rPr>
              <w:t>7</w:t>
            </w:r>
            <w:r w:rsidR="00CF7A14">
              <w:rPr>
                <w:rFonts w:hint="eastAsia"/>
                <w:sz w:val="28"/>
                <w:szCs w:val="28"/>
              </w:rPr>
              <w:t>8</w:t>
            </w:r>
            <w:r w:rsidR="00A0075F">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【社會福利及環境衛生委員會-歲出部分-衛生福利部主管-社會及家庭署】</w:t>
            </w:r>
          </w:p>
          <w:p w:rsidR="008726D3" w:rsidRPr="00E64288" w:rsidRDefault="008726D3" w:rsidP="008726D3">
            <w:pPr>
              <w:pStyle w:val="affa"/>
              <w:spacing w:line="400" w:lineRule="exact"/>
              <w:ind w:left="283" w:hangingChars="100" w:hanging="283"/>
              <w:rPr>
                <w:rFonts w:hAnsi="標楷體"/>
              </w:rPr>
            </w:pPr>
            <w:r w:rsidRPr="00E64288">
              <w:rPr>
                <w:rFonts w:hAnsi="標楷體" w:hint="eastAsia"/>
              </w:rPr>
              <w:t>(三)我國育齡婦女總生育率逐年遞減，107年總生育率1.06%、108年1.05%、109年僅0.99%，據內政部戶政司人口統計資料顯示，截至110年8月底為止，全台人口數為2,345萬人，約較109年同月減少12萬人；8月出生數為1萬2,588人，死亡數為1萬4,952人，持續維持「生不如死」的人口變化趨勢，而111年為虎年，總生育率恐再下探低點，衛生福利部社會及家庭署應就少子女化對策計畫持續檢討。爰針對111年度衛生福利部社會及家庭署「社會福利服務業務」項下「我國少子女化對策計畫」預算編列186億2,206萬2千元，凍結50萬元，俟衛生福利部社會及家庭署就0至未滿2歲嬰幼兒照顧，向立法院社會福利及衛生環境委員會提出書面報告後，始得動支。</w:t>
            </w:r>
          </w:p>
        </w:tc>
      </w:tr>
      <w:tr w:rsidR="008726D3" w:rsidRPr="00E64288" w:rsidTr="00FA3958">
        <w:tc>
          <w:tcPr>
            <w:tcW w:w="714" w:type="dxa"/>
          </w:tcPr>
          <w:p w:rsidR="008726D3" w:rsidRPr="002B1F93" w:rsidRDefault="00CF7A14" w:rsidP="00D37B6D">
            <w:pPr>
              <w:pStyle w:val="affe"/>
              <w:spacing w:line="400" w:lineRule="exact"/>
              <w:ind w:left="247" w:rightChars="0" w:firstLineChars="0" w:hanging="346"/>
              <w:jc w:val="center"/>
              <w:rPr>
                <w:rFonts w:hint="eastAsia"/>
                <w:sz w:val="28"/>
                <w:szCs w:val="28"/>
              </w:rPr>
            </w:pPr>
            <w:r>
              <w:rPr>
                <w:rFonts w:hint="eastAsia"/>
                <w:sz w:val="28"/>
                <w:szCs w:val="28"/>
              </w:rPr>
              <w:t>79</w:t>
            </w:r>
            <w:r w:rsidR="004A6113">
              <w:rPr>
                <w:rFonts w:hint="eastAsia"/>
                <w:sz w:val="28"/>
                <w:szCs w:val="28"/>
              </w:rPr>
              <w:t>.</w:t>
            </w:r>
          </w:p>
        </w:tc>
        <w:tc>
          <w:tcPr>
            <w:tcW w:w="7947" w:type="dxa"/>
            <w:shd w:val="clear" w:color="auto" w:fill="auto"/>
          </w:tcPr>
          <w:p w:rsidR="008726D3" w:rsidRPr="002B1F93" w:rsidRDefault="008726D3" w:rsidP="008726D3">
            <w:pPr>
              <w:pStyle w:val="affe"/>
              <w:spacing w:line="400" w:lineRule="exact"/>
              <w:ind w:leftChars="-35" w:left="247" w:hangingChars="122" w:hanging="346"/>
              <w:rPr>
                <w:rFonts w:hint="eastAsia"/>
                <w:sz w:val="28"/>
                <w:szCs w:val="28"/>
              </w:rPr>
            </w:pPr>
            <w:r w:rsidRPr="002B1F93">
              <w:rPr>
                <w:rFonts w:hint="eastAsia"/>
                <w:sz w:val="28"/>
                <w:szCs w:val="28"/>
              </w:rPr>
              <w:t>【社會福利及環境衛生委員會-歲出部分-衛生福利部主管-社會及家庭署】</w:t>
            </w:r>
          </w:p>
          <w:p w:rsidR="008726D3" w:rsidRPr="002B1F93" w:rsidRDefault="008726D3" w:rsidP="008726D3">
            <w:pPr>
              <w:pStyle w:val="affa"/>
              <w:spacing w:line="400" w:lineRule="exact"/>
              <w:ind w:left="283" w:right="-77" w:hangingChars="100" w:hanging="283"/>
              <w:rPr>
                <w:rFonts w:hAnsi="標楷體"/>
              </w:rPr>
            </w:pPr>
            <w:r w:rsidRPr="002B1F93">
              <w:rPr>
                <w:rFonts w:ascii="華康細明體" w:hint="eastAsia"/>
              </w:rPr>
              <w:t>(</w:t>
            </w:r>
            <w:r w:rsidRPr="002B1F93">
              <w:rPr>
                <w:rFonts w:hint="eastAsia"/>
              </w:rPr>
              <w:t>三十三</w:t>
            </w:r>
            <w:r w:rsidRPr="002B1F93">
              <w:rPr>
                <w:rFonts w:ascii="華康細明體" w:hint="eastAsia"/>
              </w:rPr>
              <w:t>)</w:t>
            </w:r>
            <w:r w:rsidRPr="002B1F93">
              <w:rPr>
                <w:rFonts w:hint="eastAsia"/>
              </w:rPr>
              <w:t>110年8月監察院公布「兒少性侵害防治通案研究」成果報告，提及近10年17件重大兒少性侵案件中，其中6件發生在安置機構內（2件兒少安置機構、4件身障安置機構），且近年來機構安置性侵案件有逐年增加之趨勢，且智能障礙及精神疾患兒少更是被害高風險對象。安置機構的兒少，為曾受不當管教、疏忽、家暴、虐待或性侵的保護個案者，其原生家庭亦多為社會之弱勢或脆弱家庭者，其心理狀態原已較一般人困難，加上安置機構內管理權勢壓力與同儕間壓力，其相對封閉的環境及團體生活模式，以及機構可能面臨「須面對外界眼光」、「機構的募款與捐物受到影響」壓力，嚴重者會因此可能被迫歇業，讓不良安置機構之弊端不易被揭發，而讓已受創傷的孩子再度受到傷害，甚至產生更嚴重的偏差行為。兒童及少年是國家的重要資產，當家庭喪失保護與照顧功能時，家外保護由國家介入的最後方式便是安置機構，也可說是兒少保護的最後一道防線，若安置機構無法有效發揮其功能時，將更難健全國家兒少福利與保護制度，請衛生福利部於110年年底前向立法院社會福利及衛生環境委員會提出「安置兒少申訴機制及權益保障措施」書面報告。</w:t>
            </w:r>
          </w:p>
        </w:tc>
      </w:tr>
      <w:tr w:rsidR="008726D3" w:rsidRPr="00E64288" w:rsidTr="00FA3958">
        <w:tc>
          <w:tcPr>
            <w:tcW w:w="714" w:type="dxa"/>
          </w:tcPr>
          <w:p w:rsidR="008726D3" w:rsidRPr="00E64288" w:rsidRDefault="004A6113" w:rsidP="00D37B6D">
            <w:pPr>
              <w:pStyle w:val="affe"/>
              <w:spacing w:line="400" w:lineRule="exact"/>
              <w:ind w:left="247" w:rightChars="0" w:firstLineChars="0" w:hanging="346"/>
              <w:jc w:val="center"/>
              <w:rPr>
                <w:rFonts w:hint="eastAsia"/>
                <w:sz w:val="28"/>
                <w:szCs w:val="28"/>
              </w:rPr>
            </w:pPr>
            <w:r>
              <w:rPr>
                <w:rFonts w:hint="eastAsia"/>
                <w:sz w:val="28"/>
                <w:szCs w:val="28"/>
              </w:rPr>
              <w:t>8</w:t>
            </w:r>
            <w:r w:rsidR="00CF7A14">
              <w:rPr>
                <w:rFonts w:hint="eastAsia"/>
                <w:sz w:val="28"/>
                <w:szCs w:val="28"/>
              </w:rPr>
              <w:t>0</w:t>
            </w:r>
            <w:r>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【社會福利及環境衛生委員會-歲出部分-衛生福利部主管-社會及家庭署】</w:t>
            </w:r>
          </w:p>
          <w:p w:rsidR="008726D3" w:rsidRPr="00E64288" w:rsidRDefault="008726D3" w:rsidP="008726D3">
            <w:pPr>
              <w:spacing w:line="400" w:lineRule="exact"/>
              <w:ind w:leftChars="0" w:left="283" w:right="-77" w:hangingChars="100" w:hanging="283"/>
              <w:textAlignment w:val="center"/>
              <w:rPr>
                <w:rFonts w:hAnsi="標楷體"/>
              </w:rPr>
            </w:pPr>
            <w:r w:rsidRPr="00E64288">
              <w:rPr>
                <w:rFonts w:ascii="華康細明體" w:hint="eastAsia"/>
              </w:rPr>
              <w:t>(</w:t>
            </w:r>
            <w:r w:rsidRPr="00E64288">
              <w:rPr>
                <w:rFonts w:ascii="華康細明體" w:hint="eastAsia"/>
              </w:rPr>
              <w:t>七十二</w:t>
            </w:r>
            <w:r w:rsidRPr="00E64288">
              <w:rPr>
                <w:rFonts w:ascii="華康細明體" w:hint="eastAsia"/>
              </w:rPr>
              <w:t>)</w:t>
            </w:r>
            <w:r w:rsidRPr="00E64288">
              <w:rPr>
                <w:rFonts w:hint="eastAsia"/>
              </w:rPr>
              <w:t>依財團法人勵馨社會福利事業基金會估算，受暴女性從離家，到真正能夠自立，大約需要4年。但全台的庇護所中只有雙北市的長期庇護所最長能夠住到2年，其他縣市最長只能住到1年，對於受暴女性。經查衛生福利部社會及家庭署強化社會安全網第1期計畫中，就家庭暴力被害人中長期庇護資源嚴重不足，僅12個縣市設有中長期庇護處所，且大部分庇護所都位於交通不便之處，對於受暴婦女重返社會及求職、小孩就學都十分艱難。然在強化社會安全網第2期計畫中卻對於改善計畫付之闕如。2019年於高雄舉辦之「世界婦女庇護安置大會」中，各國對受暴女性處遇提供的寶貴經驗尤值學習，如荷蘭的「橘屋計畫」讓庇護所直接進駐社區、加拿大的「返家計畫」等，都能協助受暴女性回歸社會，重拾人生。爰要求衛生福利部社會及家庭署3個月內向立法院社會福利及衛生環境委員會就「受暴女性中長期庇護資源提升及參考國外庇護所如何有效協助其回歸社會」提出書面報告。</w:t>
            </w:r>
          </w:p>
        </w:tc>
      </w:tr>
      <w:tr w:rsidR="008726D3" w:rsidRPr="00E64288" w:rsidTr="00FA3958">
        <w:tc>
          <w:tcPr>
            <w:tcW w:w="714" w:type="dxa"/>
          </w:tcPr>
          <w:p w:rsidR="008726D3" w:rsidRPr="00E64288" w:rsidRDefault="004A6113" w:rsidP="00D37B6D">
            <w:pPr>
              <w:pStyle w:val="affe"/>
              <w:spacing w:line="400" w:lineRule="exact"/>
              <w:ind w:left="247" w:rightChars="0" w:firstLineChars="0" w:hanging="346"/>
              <w:jc w:val="center"/>
              <w:rPr>
                <w:rFonts w:hint="eastAsia"/>
                <w:sz w:val="28"/>
                <w:szCs w:val="28"/>
              </w:rPr>
            </w:pPr>
            <w:r>
              <w:rPr>
                <w:rFonts w:hint="eastAsia"/>
                <w:sz w:val="28"/>
                <w:szCs w:val="28"/>
              </w:rPr>
              <w:t>8</w:t>
            </w:r>
            <w:r w:rsidR="00CF7A14">
              <w:rPr>
                <w:rFonts w:hint="eastAsia"/>
                <w:sz w:val="28"/>
                <w:szCs w:val="28"/>
              </w:rPr>
              <w:t>1</w:t>
            </w:r>
            <w:r>
              <w:rPr>
                <w:rFonts w:hint="eastAsia"/>
                <w:sz w:val="28"/>
                <w:szCs w:val="28"/>
              </w:rPr>
              <w:t>.</w:t>
            </w:r>
          </w:p>
        </w:tc>
        <w:tc>
          <w:tcPr>
            <w:tcW w:w="7947" w:type="dxa"/>
            <w:shd w:val="clear" w:color="auto" w:fill="auto"/>
          </w:tcPr>
          <w:p w:rsidR="008726D3" w:rsidRPr="00E64288" w:rsidRDefault="008726D3" w:rsidP="008726D3">
            <w:pPr>
              <w:pStyle w:val="affe"/>
              <w:spacing w:line="400" w:lineRule="exact"/>
              <w:ind w:leftChars="-35" w:left="247" w:hangingChars="122" w:hanging="346"/>
              <w:rPr>
                <w:rFonts w:hint="eastAsia"/>
                <w:sz w:val="28"/>
                <w:szCs w:val="28"/>
              </w:rPr>
            </w:pPr>
            <w:r w:rsidRPr="00E64288">
              <w:rPr>
                <w:rFonts w:hint="eastAsia"/>
                <w:sz w:val="28"/>
                <w:szCs w:val="28"/>
              </w:rPr>
              <w:t>【社會福利及環境衛生委員會-歲出部分-環境保護署主管-環境保護署】</w:t>
            </w:r>
          </w:p>
          <w:p w:rsidR="008726D3" w:rsidRPr="00E64288" w:rsidRDefault="008726D3" w:rsidP="008726D3">
            <w:pPr>
              <w:pStyle w:val="affe"/>
              <w:spacing w:line="400" w:lineRule="exact"/>
              <w:ind w:left="283" w:hangingChars="100" w:hanging="283"/>
              <w:rPr>
                <w:rFonts w:hint="eastAsia"/>
                <w:sz w:val="28"/>
                <w:szCs w:val="28"/>
              </w:rPr>
            </w:pPr>
            <w:r w:rsidRPr="00E64288">
              <w:rPr>
                <w:rFonts w:hint="eastAsia"/>
                <w:sz w:val="28"/>
                <w:szCs w:val="28"/>
              </w:rPr>
              <w:t>(十)111年度行政院環境保護署「綜合計畫」項下「加強基層環保建設」中「營造優質環境衛生」預算編列5億0,445萬8千元，合併凍結500萬元，俟行政院環境保護署就下列各案向立法院社會福利及衛生環境委員會提出書面報告並經同意後，始得動支。</w:t>
            </w:r>
          </w:p>
          <w:p w:rsidR="00170B6C" w:rsidRDefault="008726D3" w:rsidP="00170B6C">
            <w:pPr>
              <w:pStyle w:val="affe"/>
              <w:spacing w:line="400" w:lineRule="exact"/>
              <w:ind w:leftChars="125" w:left="637" w:hangingChars="100" w:hanging="283"/>
              <w:rPr>
                <w:sz w:val="28"/>
                <w:szCs w:val="28"/>
              </w:rPr>
            </w:pPr>
            <w:r w:rsidRPr="00E64288">
              <w:rPr>
                <w:rFonts w:hint="eastAsia"/>
                <w:sz w:val="28"/>
                <w:szCs w:val="28"/>
              </w:rPr>
              <w:t>4.優質公廁推動計畫為行政院重要政策之一，並配合聯合國將11月19日訂為「世界廁所日」（World Toilet Day），藉此喚醒大眾對廁所還有公共衛生的重視，然行政院環境保護署於推廣公廁美化行動中，有以下問題：</w:t>
            </w:r>
          </w:p>
          <w:p w:rsidR="008726D3" w:rsidRPr="00E64288" w:rsidRDefault="008726D3" w:rsidP="00170B6C">
            <w:pPr>
              <w:pStyle w:val="affe"/>
              <w:spacing w:line="400" w:lineRule="exact"/>
              <w:ind w:leftChars="220" w:left="624" w:firstLineChars="0" w:firstLine="0"/>
              <w:rPr>
                <w:rFonts w:hint="eastAsia"/>
                <w:sz w:val="28"/>
                <w:szCs w:val="28"/>
              </w:rPr>
            </w:pPr>
            <w:r w:rsidRPr="00E64288">
              <w:rPr>
                <w:rFonts w:hint="eastAsia"/>
                <w:sz w:val="28"/>
                <w:szCs w:val="28"/>
              </w:rPr>
              <w:t>(3)另依據109年統計全台4萬6,512座公廁，無障礙廁所僅7,589座，親子廁所697座，性別友善廁所142座，行政院環境保護署應予以重視，並提出積極改善的作為，爰針對111年度行政院環境保護署「綜合計畫」項下「加強基層環保建設」中「營造優質環境衛生」預算編列5億0,445萬8千元，凍結500萬元，俟行政院環境保護署向立法院社會福利及衛生環境委員會提出書面報告並經同意後，始得動支。</w:t>
            </w:r>
          </w:p>
        </w:tc>
      </w:tr>
    </w:tbl>
    <w:bookmarkEnd w:id="3"/>
    <w:bookmarkEnd w:id="4"/>
    <w:bookmarkEnd w:id="5"/>
    <w:bookmarkEnd w:id="6"/>
    <w:bookmarkEnd w:id="7"/>
    <w:bookmarkEnd w:id="8"/>
    <w:bookmarkEnd w:id="9"/>
    <w:bookmarkEnd w:id="10"/>
    <w:bookmarkEnd w:id="11"/>
    <w:bookmarkEnd w:id="12"/>
    <w:bookmarkEnd w:id="13"/>
    <w:bookmarkEnd w:id="14"/>
    <w:bookmarkEnd w:id="15"/>
    <w:bookmarkEnd w:id="16"/>
    <w:p w:rsidR="00137893" w:rsidRPr="00E64288" w:rsidRDefault="00137893" w:rsidP="00861C5A">
      <w:pPr>
        <w:pStyle w:val="200"/>
        <w:spacing w:line="360" w:lineRule="exact"/>
        <w:ind w:leftChars="-34" w:left="1321" w:rightChars="-27" w:right="-77" w:hangingChars="500" w:hanging="1417"/>
        <w:jc w:val="both"/>
        <w:rPr>
          <w:rFonts w:hAnsi="標楷體" w:hint="eastAsia"/>
          <w:sz w:val="28"/>
        </w:rPr>
      </w:pPr>
      <w:r w:rsidRPr="00E64288">
        <w:rPr>
          <w:rFonts w:hAnsi="標楷體" w:hint="eastAsia"/>
          <w:sz w:val="28"/>
        </w:rPr>
        <w:t>說    明：為利外界檢索，本表「決議內容」所列項款為本院</w:t>
      </w:r>
      <w:r w:rsidR="005A6C2C">
        <w:rPr>
          <w:rFonts w:hAnsi="標楷體" w:hint="eastAsia"/>
          <w:sz w:val="28"/>
        </w:rPr>
        <w:t>111</w:t>
      </w:r>
      <w:r w:rsidRPr="00E64288">
        <w:rPr>
          <w:rFonts w:hAnsi="標楷體" w:hint="eastAsia"/>
          <w:sz w:val="28"/>
        </w:rPr>
        <w:t>年度中央政府總預算案審查總報告(修正本)中「陸、審議結果」各委員會審查結果所列之項款。</w:t>
      </w:r>
    </w:p>
    <w:sectPr w:rsidR="00137893" w:rsidRPr="00E64288" w:rsidSect="00F122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096" w:rsidRDefault="00200096" w:rsidP="005E2219">
      <w:pPr>
        <w:ind w:left="560" w:firstLine="560"/>
      </w:pPr>
      <w:r>
        <w:separator/>
      </w:r>
    </w:p>
  </w:endnote>
  <w:endnote w:type="continuationSeparator" w:id="0">
    <w:p w:rsidR="00200096" w:rsidRDefault="00200096" w:rsidP="005E221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9E2" w:rsidRDefault="00BB19E2" w:rsidP="005E2219">
    <w:pPr>
      <w:pStyle w:val="af1"/>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BB19E2" w:rsidRDefault="00BB19E2" w:rsidP="005E2219">
    <w:pPr>
      <w:pStyle w:val="af1"/>
      <w:framePr w:wrap="around" w:vAnchor="text" w:hAnchor="margin" w:xAlign="center" w:y="1"/>
      <w:ind w:left="560" w:right="360" w:firstLine="400"/>
      <w:rPr>
        <w:rStyle w:val="af"/>
      </w:rPr>
    </w:pPr>
    <w:r>
      <w:rPr>
        <w:rStyle w:val="af"/>
      </w:rPr>
      <w:fldChar w:fldCharType="begin"/>
    </w:r>
    <w:r>
      <w:rPr>
        <w:rStyle w:val="af"/>
      </w:rPr>
      <w:instrText xml:space="preserve">PAGE  </w:instrText>
    </w:r>
    <w:r>
      <w:rPr>
        <w:rStyle w:val="af"/>
      </w:rPr>
      <w:fldChar w:fldCharType="end"/>
    </w:r>
  </w:p>
  <w:p w:rsidR="00BB19E2" w:rsidRDefault="00BB19E2" w:rsidP="005E2219">
    <w:pPr>
      <w:pStyle w:val="af1"/>
      <w:framePr w:wrap="around" w:vAnchor="text" w:hAnchor="margin" w:xAlign="right" w:y="1"/>
      <w:ind w:left="560" w:firstLine="400"/>
      <w:rPr>
        <w:rStyle w:val="af"/>
      </w:rPr>
    </w:pPr>
    <w:r>
      <w:rPr>
        <w:rStyle w:val="af"/>
      </w:rPr>
      <w:fldChar w:fldCharType="begin"/>
    </w:r>
    <w:r>
      <w:rPr>
        <w:rStyle w:val="af"/>
      </w:rPr>
      <w:instrText xml:space="preserve">PAGE  </w:instrText>
    </w:r>
    <w:r>
      <w:rPr>
        <w:rStyle w:val="af"/>
      </w:rPr>
      <w:fldChar w:fldCharType="end"/>
    </w:r>
  </w:p>
  <w:p w:rsidR="00BB19E2" w:rsidRDefault="00BB19E2" w:rsidP="005E2219">
    <w:pPr>
      <w:pStyle w:val="af1"/>
      <w:ind w:left="560" w:right="360"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9E2" w:rsidRDefault="00BB19E2" w:rsidP="00C42374">
    <w:pPr>
      <w:pStyle w:val="af1"/>
      <w:framePr w:wrap="around" w:vAnchor="text" w:hAnchor="margin" w:xAlign="center" w:y="1"/>
      <w:ind w:leftChars="0" w:left="0" w:firstLineChars="0" w:firstLine="0"/>
      <w:rPr>
        <w:rStyle w:val="af"/>
      </w:rPr>
    </w:pPr>
    <w:r>
      <w:rPr>
        <w:rStyle w:val="af"/>
      </w:rPr>
      <w:fldChar w:fldCharType="begin"/>
    </w:r>
    <w:r>
      <w:rPr>
        <w:rStyle w:val="af"/>
      </w:rPr>
      <w:instrText xml:space="preserve">PAGE  </w:instrText>
    </w:r>
    <w:r>
      <w:rPr>
        <w:rStyle w:val="af"/>
      </w:rPr>
      <w:fldChar w:fldCharType="separate"/>
    </w:r>
    <w:r w:rsidR="00864DE9">
      <w:rPr>
        <w:rStyle w:val="af"/>
        <w:noProof/>
      </w:rPr>
      <w:t>3</w:t>
    </w:r>
    <w:r>
      <w:rPr>
        <w:rStyle w:val="af"/>
      </w:rPr>
      <w:fldChar w:fldCharType="end"/>
    </w:r>
  </w:p>
  <w:p w:rsidR="00BB19E2" w:rsidRDefault="00BB19E2" w:rsidP="005E2219">
    <w:pPr>
      <w:pStyle w:val="af1"/>
      <w:ind w:left="560" w:right="360" w:firstLine="4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9E2" w:rsidRDefault="00BB19E2" w:rsidP="005E2219">
    <w:pPr>
      <w:pStyle w:val="af1"/>
      <w:ind w:left="560" w:firstLine="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096" w:rsidRDefault="00200096" w:rsidP="005E2219">
      <w:pPr>
        <w:ind w:left="560" w:firstLine="560"/>
      </w:pPr>
      <w:r>
        <w:separator/>
      </w:r>
    </w:p>
  </w:footnote>
  <w:footnote w:type="continuationSeparator" w:id="0">
    <w:p w:rsidR="00200096" w:rsidRDefault="00200096" w:rsidP="005E2219">
      <w:pPr>
        <w:ind w:left="560"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9E2" w:rsidRDefault="00BB19E2" w:rsidP="005E2219">
    <w:pPr>
      <w:pStyle w:val="af0"/>
      <w:ind w:left="560"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9E2" w:rsidRDefault="00BB19E2" w:rsidP="005E2219">
    <w:pPr>
      <w:pStyle w:val="af0"/>
      <w:ind w:left="560" w:right="360" w:firstLine="40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9E2" w:rsidRDefault="00BB19E2" w:rsidP="005E2219">
    <w:pPr>
      <w:pStyle w:val="af0"/>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2E3F"/>
    <w:multiLevelType w:val="hybridMultilevel"/>
    <w:tmpl w:val="98CEB652"/>
    <w:lvl w:ilvl="0" w:tplc="0409000F">
      <w:start w:val="1"/>
      <w:numFmt w:val="decimal"/>
      <w:lvlText w:val="%1."/>
      <w:lvlJc w:val="left"/>
      <w:pPr>
        <w:tabs>
          <w:tab w:val="num" w:pos="954"/>
        </w:tabs>
        <w:ind w:left="954" w:hanging="480"/>
      </w:p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1">
    <w:nsid w:val="03981E2A"/>
    <w:multiLevelType w:val="hybridMultilevel"/>
    <w:tmpl w:val="C7F20964"/>
    <w:lvl w:ilvl="0" w:tplc="6766390A">
      <w:start w:val="23"/>
      <w:numFmt w:val="bullet"/>
      <w:lvlText w:val="※"/>
      <w:lvlJc w:val="left"/>
      <w:pPr>
        <w:tabs>
          <w:tab w:val="num" w:pos="845"/>
        </w:tabs>
        <w:ind w:left="845" w:hanging="360"/>
      </w:pPr>
      <w:rPr>
        <w:rFonts w:ascii="Times New Roman" w:eastAsia="標楷體" w:hAnsi="Times New Roman" w:cs="Times New Roman" w:hint="default"/>
      </w:rPr>
    </w:lvl>
    <w:lvl w:ilvl="1" w:tplc="04090003" w:tentative="1">
      <w:start w:val="1"/>
      <w:numFmt w:val="bullet"/>
      <w:lvlText w:val=""/>
      <w:lvlJc w:val="left"/>
      <w:pPr>
        <w:tabs>
          <w:tab w:val="num" w:pos="1445"/>
        </w:tabs>
        <w:ind w:left="1445" w:hanging="480"/>
      </w:pPr>
      <w:rPr>
        <w:rFonts w:ascii="Wingdings" w:hAnsi="Wingdings" w:hint="default"/>
      </w:rPr>
    </w:lvl>
    <w:lvl w:ilvl="2" w:tplc="04090005" w:tentative="1">
      <w:start w:val="1"/>
      <w:numFmt w:val="bullet"/>
      <w:lvlText w:val=""/>
      <w:lvlJc w:val="left"/>
      <w:pPr>
        <w:tabs>
          <w:tab w:val="num" w:pos="1925"/>
        </w:tabs>
        <w:ind w:left="1925" w:hanging="480"/>
      </w:pPr>
      <w:rPr>
        <w:rFonts w:ascii="Wingdings" w:hAnsi="Wingdings" w:hint="default"/>
      </w:rPr>
    </w:lvl>
    <w:lvl w:ilvl="3" w:tplc="04090001" w:tentative="1">
      <w:start w:val="1"/>
      <w:numFmt w:val="bullet"/>
      <w:lvlText w:val=""/>
      <w:lvlJc w:val="left"/>
      <w:pPr>
        <w:tabs>
          <w:tab w:val="num" w:pos="2405"/>
        </w:tabs>
        <w:ind w:left="2405" w:hanging="480"/>
      </w:pPr>
      <w:rPr>
        <w:rFonts w:ascii="Wingdings" w:hAnsi="Wingdings" w:hint="default"/>
      </w:rPr>
    </w:lvl>
    <w:lvl w:ilvl="4" w:tplc="04090003" w:tentative="1">
      <w:start w:val="1"/>
      <w:numFmt w:val="bullet"/>
      <w:lvlText w:val=""/>
      <w:lvlJc w:val="left"/>
      <w:pPr>
        <w:tabs>
          <w:tab w:val="num" w:pos="2885"/>
        </w:tabs>
        <w:ind w:left="2885" w:hanging="480"/>
      </w:pPr>
      <w:rPr>
        <w:rFonts w:ascii="Wingdings" w:hAnsi="Wingdings" w:hint="default"/>
      </w:rPr>
    </w:lvl>
    <w:lvl w:ilvl="5" w:tplc="04090005" w:tentative="1">
      <w:start w:val="1"/>
      <w:numFmt w:val="bullet"/>
      <w:lvlText w:val=""/>
      <w:lvlJc w:val="left"/>
      <w:pPr>
        <w:tabs>
          <w:tab w:val="num" w:pos="3365"/>
        </w:tabs>
        <w:ind w:left="3365" w:hanging="480"/>
      </w:pPr>
      <w:rPr>
        <w:rFonts w:ascii="Wingdings" w:hAnsi="Wingdings" w:hint="default"/>
      </w:rPr>
    </w:lvl>
    <w:lvl w:ilvl="6" w:tplc="04090001" w:tentative="1">
      <w:start w:val="1"/>
      <w:numFmt w:val="bullet"/>
      <w:lvlText w:val=""/>
      <w:lvlJc w:val="left"/>
      <w:pPr>
        <w:tabs>
          <w:tab w:val="num" w:pos="3845"/>
        </w:tabs>
        <w:ind w:left="3845" w:hanging="480"/>
      </w:pPr>
      <w:rPr>
        <w:rFonts w:ascii="Wingdings" w:hAnsi="Wingdings" w:hint="default"/>
      </w:rPr>
    </w:lvl>
    <w:lvl w:ilvl="7" w:tplc="04090003" w:tentative="1">
      <w:start w:val="1"/>
      <w:numFmt w:val="bullet"/>
      <w:lvlText w:val=""/>
      <w:lvlJc w:val="left"/>
      <w:pPr>
        <w:tabs>
          <w:tab w:val="num" w:pos="4325"/>
        </w:tabs>
        <w:ind w:left="4325" w:hanging="480"/>
      </w:pPr>
      <w:rPr>
        <w:rFonts w:ascii="Wingdings" w:hAnsi="Wingdings" w:hint="default"/>
      </w:rPr>
    </w:lvl>
    <w:lvl w:ilvl="8" w:tplc="04090005" w:tentative="1">
      <w:start w:val="1"/>
      <w:numFmt w:val="bullet"/>
      <w:lvlText w:val=""/>
      <w:lvlJc w:val="left"/>
      <w:pPr>
        <w:tabs>
          <w:tab w:val="num" w:pos="4805"/>
        </w:tabs>
        <w:ind w:left="4805" w:hanging="480"/>
      </w:pPr>
      <w:rPr>
        <w:rFonts w:ascii="Wingdings" w:hAnsi="Wingdings" w:hint="default"/>
      </w:rPr>
    </w:lvl>
  </w:abstractNum>
  <w:abstractNum w:abstractNumId="2">
    <w:nsid w:val="05967280"/>
    <w:multiLevelType w:val="hybridMultilevel"/>
    <w:tmpl w:val="EE0AA5E8"/>
    <w:lvl w:ilvl="0" w:tplc="43B4C2A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
    <w:nsid w:val="08E148BB"/>
    <w:multiLevelType w:val="hybridMultilevel"/>
    <w:tmpl w:val="8E9CA2EC"/>
    <w:lvl w:ilvl="0" w:tplc="2566FCB6">
      <w:numFmt w:val="bullet"/>
      <w:lvlText w:val="※"/>
      <w:lvlJc w:val="left"/>
      <w:pPr>
        <w:tabs>
          <w:tab w:val="num" w:pos="1502"/>
        </w:tabs>
        <w:ind w:left="1502" w:hanging="360"/>
      </w:pPr>
      <w:rPr>
        <w:rFonts w:ascii="Times New Roman" w:eastAsia="標楷體" w:hAnsi="Times New Roman" w:cs="Times New Roman" w:hint="default"/>
      </w:rPr>
    </w:lvl>
    <w:lvl w:ilvl="1" w:tplc="04090003" w:tentative="1">
      <w:start w:val="1"/>
      <w:numFmt w:val="bullet"/>
      <w:lvlText w:val=""/>
      <w:lvlJc w:val="left"/>
      <w:pPr>
        <w:tabs>
          <w:tab w:val="num" w:pos="2102"/>
        </w:tabs>
        <w:ind w:left="2102" w:hanging="480"/>
      </w:pPr>
      <w:rPr>
        <w:rFonts w:ascii="Wingdings" w:hAnsi="Wingdings" w:hint="default"/>
      </w:rPr>
    </w:lvl>
    <w:lvl w:ilvl="2" w:tplc="04090005" w:tentative="1">
      <w:start w:val="1"/>
      <w:numFmt w:val="bullet"/>
      <w:lvlText w:val=""/>
      <w:lvlJc w:val="left"/>
      <w:pPr>
        <w:tabs>
          <w:tab w:val="num" w:pos="2582"/>
        </w:tabs>
        <w:ind w:left="2582" w:hanging="480"/>
      </w:pPr>
      <w:rPr>
        <w:rFonts w:ascii="Wingdings" w:hAnsi="Wingdings" w:hint="default"/>
      </w:rPr>
    </w:lvl>
    <w:lvl w:ilvl="3" w:tplc="04090001" w:tentative="1">
      <w:start w:val="1"/>
      <w:numFmt w:val="bullet"/>
      <w:lvlText w:val=""/>
      <w:lvlJc w:val="left"/>
      <w:pPr>
        <w:tabs>
          <w:tab w:val="num" w:pos="3062"/>
        </w:tabs>
        <w:ind w:left="3062" w:hanging="480"/>
      </w:pPr>
      <w:rPr>
        <w:rFonts w:ascii="Wingdings" w:hAnsi="Wingdings" w:hint="default"/>
      </w:rPr>
    </w:lvl>
    <w:lvl w:ilvl="4" w:tplc="04090003" w:tentative="1">
      <w:start w:val="1"/>
      <w:numFmt w:val="bullet"/>
      <w:lvlText w:val=""/>
      <w:lvlJc w:val="left"/>
      <w:pPr>
        <w:tabs>
          <w:tab w:val="num" w:pos="3542"/>
        </w:tabs>
        <w:ind w:left="3542" w:hanging="480"/>
      </w:pPr>
      <w:rPr>
        <w:rFonts w:ascii="Wingdings" w:hAnsi="Wingdings" w:hint="default"/>
      </w:rPr>
    </w:lvl>
    <w:lvl w:ilvl="5" w:tplc="04090005" w:tentative="1">
      <w:start w:val="1"/>
      <w:numFmt w:val="bullet"/>
      <w:lvlText w:val=""/>
      <w:lvlJc w:val="left"/>
      <w:pPr>
        <w:tabs>
          <w:tab w:val="num" w:pos="4022"/>
        </w:tabs>
        <w:ind w:left="4022" w:hanging="480"/>
      </w:pPr>
      <w:rPr>
        <w:rFonts w:ascii="Wingdings" w:hAnsi="Wingdings" w:hint="default"/>
      </w:rPr>
    </w:lvl>
    <w:lvl w:ilvl="6" w:tplc="04090001" w:tentative="1">
      <w:start w:val="1"/>
      <w:numFmt w:val="bullet"/>
      <w:lvlText w:val=""/>
      <w:lvlJc w:val="left"/>
      <w:pPr>
        <w:tabs>
          <w:tab w:val="num" w:pos="4502"/>
        </w:tabs>
        <w:ind w:left="4502" w:hanging="480"/>
      </w:pPr>
      <w:rPr>
        <w:rFonts w:ascii="Wingdings" w:hAnsi="Wingdings" w:hint="default"/>
      </w:rPr>
    </w:lvl>
    <w:lvl w:ilvl="7" w:tplc="04090003" w:tentative="1">
      <w:start w:val="1"/>
      <w:numFmt w:val="bullet"/>
      <w:lvlText w:val=""/>
      <w:lvlJc w:val="left"/>
      <w:pPr>
        <w:tabs>
          <w:tab w:val="num" w:pos="4982"/>
        </w:tabs>
        <w:ind w:left="4982" w:hanging="480"/>
      </w:pPr>
      <w:rPr>
        <w:rFonts w:ascii="Wingdings" w:hAnsi="Wingdings" w:hint="default"/>
      </w:rPr>
    </w:lvl>
    <w:lvl w:ilvl="8" w:tplc="04090005" w:tentative="1">
      <w:start w:val="1"/>
      <w:numFmt w:val="bullet"/>
      <w:lvlText w:val=""/>
      <w:lvlJc w:val="left"/>
      <w:pPr>
        <w:tabs>
          <w:tab w:val="num" w:pos="5462"/>
        </w:tabs>
        <w:ind w:left="5462" w:hanging="480"/>
      </w:pPr>
      <w:rPr>
        <w:rFonts w:ascii="Wingdings" w:hAnsi="Wingdings" w:hint="default"/>
      </w:rPr>
    </w:lvl>
  </w:abstractNum>
  <w:abstractNum w:abstractNumId="4">
    <w:nsid w:val="0938487C"/>
    <w:multiLevelType w:val="hybridMultilevel"/>
    <w:tmpl w:val="0CF8C322"/>
    <w:lvl w:ilvl="0" w:tplc="DF02F642">
      <w:start w:val="1"/>
      <w:numFmt w:val="taiwaneseCountingThousand"/>
      <w:lvlText w:val="%1、"/>
      <w:lvlJc w:val="left"/>
      <w:pPr>
        <w:tabs>
          <w:tab w:val="num" w:pos="1287"/>
        </w:tabs>
        <w:ind w:left="1287" w:hanging="720"/>
      </w:pPr>
      <w:rPr>
        <w:rFonts w:hint="eastAsia"/>
      </w:rPr>
    </w:lvl>
    <w:lvl w:ilvl="1" w:tplc="04090019" w:tentative="1">
      <w:start w:val="1"/>
      <w:numFmt w:val="ideographTraditional"/>
      <w:lvlText w:val="%2、"/>
      <w:lvlJc w:val="left"/>
      <w:pPr>
        <w:tabs>
          <w:tab w:val="num" w:pos="1527"/>
        </w:tabs>
        <w:ind w:left="1527" w:hanging="480"/>
      </w:p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5">
    <w:nsid w:val="0FFE2A69"/>
    <w:multiLevelType w:val="hybridMultilevel"/>
    <w:tmpl w:val="A4502EB8"/>
    <w:lvl w:ilvl="0" w:tplc="3D66F81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6">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7">
    <w:nsid w:val="18E36534"/>
    <w:multiLevelType w:val="hybridMultilevel"/>
    <w:tmpl w:val="05DC0D9A"/>
    <w:lvl w:ilvl="0" w:tplc="3CEA28B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8">
    <w:nsid w:val="1CDC5AE5"/>
    <w:multiLevelType w:val="hybridMultilevel"/>
    <w:tmpl w:val="3066344E"/>
    <w:lvl w:ilvl="0" w:tplc="4C689F34">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9">
    <w:nsid w:val="20E11594"/>
    <w:multiLevelType w:val="hybridMultilevel"/>
    <w:tmpl w:val="9AD46002"/>
    <w:lvl w:ilvl="0" w:tplc="5B683172">
      <w:start w:val="1"/>
      <w:numFmt w:val="taiwaneseCountingThousand"/>
      <w:lvlText w:val="（%1）"/>
      <w:lvlJc w:val="left"/>
      <w:pPr>
        <w:tabs>
          <w:tab w:val="num" w:pos="2732"/>
        </w:tabs>
        <w:ind w:left="2732" w:hanging="1004"/>
      </w:pPr>
      <w:rPr>
        <w:rFonts w:hint="eastAsia"/>
      </w:rPr>
    </w:lvl>
    <w:lvl w:ilvl="1" w:tplc="F752A28C">
      <w:start w:val="1"/>
      <w:numFmt w:val="taiwaneseCountingThousand"/>
      <w:lvlText w:val="（%2）"/>
      <w:lvlJc w:val="left"/>
      <w:pPr>
        <w:tabs>
          <w:tab w:val="num" w:pos="1474"/>
        </w:tabs>
        <w:ind w:left="1474" w:hanging="907"/>
      </w:pPr>
      <w:rPr>
        <w:rFonts w:eastAsia="標楷體" w:hint="eastAsia"/>
      </w:rPr>
    </w:lvl>
    <w:lvl w:ilvl="2" w:tplc="AE4C207E">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2096887"/>
    <w:multiLevelType w:val="hybridMultilevel"/>
    <w:tmpl w:val="AAB8C990"/>
    <w:lvl w:ilvl="0" w:tplc="393C1114">
      <w:start w:val="4"/>
      <w:numFmt w:val="bullet"/>
      <w:lvlText w:val="※"/>
      <w:lvlJc w:val="left"/>
      <w:pPr>
        <w:tabs>
          <w:tab w:val="num" w:pos="983"/>
        </w:tabs>
        <w:ind w:left="983" w:hanging="360"/>
      </w:pPr>
      <w:rPr>
        <w:rFonts w:ascii="標楷體" w:eastAsia="標楷體" w:hAnsi="Times New Roman" w:cs="Times New Roman" w:hint="eastAsia"/>
      </w:rPr>
    </w:lvl>
    <w:lvl w:ilvl="1" w:tplc="04090003">
      <w:start w:val="1"/>
      <w:numFmt w:val="bullet"/>
      <w:lvlText w:val=""/>
      <w:lvlJc w:val="left"/>
      <w:pPr>
        <w:tabs>
          <w:tab w:val="num" w:pos="1583"/>
        </w:tabs>
        <w:ind w:left="1583" w:hanging="480"/>
      </w:pPr>
      <w:rPr>
        <w:rFonts w:ascii="Wingdings" w:hAnsi="Wingdings" w:hint="default"/>
      </w:rPr>
    </w:lvl>
    <w:lvl w:ilvl="2" w:tplc="04090005" w:tentative="1">
      <w:start w:val="1"/>
      <w:numFmt w:val="bullet"/>
      <w:lvlText w:val=""/>
      <w:lvlJc w:val="left"/>
      <w:pPr>
        <w:tabs>
          <w:tab w:val="num" w:pos="2063"/>
        </w:tabs>
        <w:ind w:left="2063" w:hanging="480"/>
      </w:pPr>
      <w:rPr>
        <w:rFonts w:ascii="Wingdings" w:hAnsi="Wingdings" w:hint="default"/>
      </w:rPr>
    </w:lvl>
    <w:lvl w:ilvl="3" w:tplc="04090001" w:tentative="1">
      <w:start w:val="1"/>
      <w:numFmt w:val="bullet"/>
      <w:lvlText w:val=""/>
      <w:lvlJc w:val="left"/>
      <w:pPr>
        <w:tabs>
          <w:tab w:val="num" w:pos="2543"/>
        </w:tabs>
        <w:ind w:left="2543" w:hanging="480"/>
      </w:pPr>
      <w:rPr>
        <w:rFonts w:ascii="Wingdings" w:hAnsi="Wingdings" w:hint="default"/>
      </w:rPr>
    </w:lvl>
    <w:lvl w:ilvl="4" w:tplc="04090003" w:tentative="1">
      <w:start w:val="1"/>
      <w:numFmt w:val="bullet"/>
      <w:lvlText w:val=""/>
      <w:lvlJc w:val="left"/>
      <w:pPr>
        <w:tabs>
          <w:tab w:val="num" w:pos="3023"/>
        </w:tabs>
        <w:ind w:left="3023" w:hanging="480"/>
      </w:pPr>
      <w:rPr>
        <w:rFonts w:ascii="Wingdings" w:hAnsi="Wingdings" w:hint="default"/>
      </w:rPr>
    </w:lvl>
    <w:lvl w:ilvl="5" w:tplc="04090005" w:tentative="1">
      <w:start w:val="1"/>
      <w:numFmt w:val="bullet"/>
      <w:lvlText w:val=""/>
      <w:lvlJc w:val="left"/>
      <w:pPr>
        <w:tabs>
          <w:tab w:val="num" w:pos="3503"/>
        </w:tabs>
        <w:ind w:left="3503" w:hanging="480"/>
      </w:pPr>
      <w:rPr>
        <w:rFonts w:ascii="Wingdings" w:hAnsi="Wingdings" w:hint="default"/>
      </w:rPr>
    </w:lvl>
    <w:lvl w:ilvl="6" w:tplc="04090001" w:tentative="1">
      <w:start w:val="1"/>
      <w:numFmt w:val="bullet"/>
      <w:lvlText w:val=""/>
      <w:lvlJc w:val="left"/>
      <w:pPr>
        <w:tabs>
          <w:tab w:val="num" w:pos="3983"/>
        </w:tabs>
        <w:ind w:left="3983" w:hanging="480"/>
      </w:pPr>
      <w:rPr>
        <w:rFonts w:ascii="Wingdings" w:hAnsi="Wingdings" w:hint="default"/>
      </w:rPr>
    </w:lvl>
    <w:lvl w:ilvl="7" w:tplc="04090003" w:tentative="1">
      <w:start w:val="1"/>
      <w:numFmt w:val="bullet"/>
      <w:lvlText w:val=""/>
      <w:lvlJc w:val="left"/>
      <w:pPr>
        <w:tabs>
          <w:tab w:val="num" w:pos="4463"/>
        </w:tabs>
        <w:ind w:left="4463" w:hanging="480"/>
      </w:pPr>
      <w:rPr>
        <w:rFonts w:ascii="Wingdings" w:hAnsi="Wingdings" w:hint="default"/>
      </w:rPr>
    </w:lvl>
    <w:lvl w:ilvl="8" w:tplc="04090005" w:tentative="1">
      <w:start w:val="1"/>
      <w:numFmt w:val="bullet"/>
      <w:lvlText w:val=""/>
      <w:lvlJc w:val="left"/>
      <w:pPr>
        <w:tabs>
          <w:tab w:val="num" w:pos="4943"/>
        </w:tabs>
        <w:ind w:left="4943" w:hanging="480"/>
      </w:pPr>
      <w:rPr>
        <w:rFonts w:ascii="Wingdings" w:hAnsi="Wingdings" w:hint="default"/>
      </w:rPr>
    </w:lvl>
  </w:abstractNum>
  <w:abstractNum w:abstractNumId="11">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nsid w:val="320F333B"/>
    <w:multiLevelType w:val="hybridMultilevel"/>
    <w:tmpl w:val="9AD8F026"/>
    <w:lvl w:ilvl="0" w:tplc="A0D6D93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nsid w:val="36B757C5"/>
    <w:multiLevelType w:val="hybridMultilevel"/>
    <w:tmpl w:val="C194DD86"/>
    <w:lvl w:ilvl="0" w:tplc="156C4ABE">
      <w:start w:val="1"/>
      <w:numFmt w:val="taiwaneseCountingThousand"/>
      <w:lvlText w:val="%1、"/>
      <w:lvlJc w:val="left"/>
      <w:pPr>
        <w:tabs>
          <w:tab w:val="num" w:pos="1570"/>
        </w:tabs>
        <w:ind w:left="1570" w:hanging="72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nsid w:val="38B7153B"/>
    <w:multiLevelType w:val="hybridMultilevel"/>
    <w:tmpl w:val="F000AF4C"/>
    <w:lvl w:ilvl="0" w:tplc="4AB20D5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EBE4E78"/>
    <w:multiLevelType w:val="hybridMultilevel"/>
    <w:tmpl w:val="18724238"/>
    <w:lvl w:ilvl="0" w:tplc="C63C8E5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F3B0EB6"/>
    <w:multiLevelType w:val="hybridMultilevel"/>
    <w:tmpl w:val="A238D424"/>
    <w:lvl w:ilvl="0" w:tplc="C89ECF4E">
      <w:start w:val="1"/>
      <w:numFmt w:val="taiwaneseCountingThousand"/>
      <w:lvlText w:val="%1、"/>
      <w:lvlJc w:val="left"/>
      <w:pPr>
        <w:tabs>
          <w:tab w:val="num" w:pos="727"/>
        </w:tabs>
        <w:ind w:left="727" w:hanging="720"/>
      </w:pPr>
      <w:rPr>
        <w:rFonts w:hint="eastAsia"/>
      </w:rPr>
    </w:lvl>
    <w:lvl w:ilvl="1" w:tplc="04090019" w:tentative="1">
      <w:start w:val="1"/>
      <w:numFmt w:val="ideographTraditional"/>
      <w:lvlText w:val="%2、"/>
      <w:lvlJc w:val="left"/>
      <w:pPr>
        <w:tabs>
          <w:tab w:val="num" w:pos="967"/>
        </w:tabs>
        <w:ind w:left="967" w:hanging="480"/>
      </w:pPr>
    </w:lvl>
    <w:lvl w:ilvl="2" w:tplc="0409001B" w:tentative="1">
      <w:start w:val="1"/>
      <w:numFmt w:val="lowerRoman"/>
      <w:lvlText w:val="%3."/>
      <w:lvlJc w:val="right"/>
      <w:pPr>
        <w:tabs>
          <w:tab w:val="num" w:pos="1447"/>
        </w:tabs>
        <w:ind w:left="1447" w:hanging="480"/>
      </w:pPr>
    </w:lvl>
    <w:lvl w:ilvl="3" w:tplc="0409000F" w:tentative="1">
      <w:start w:val="1"/>
      <w:numFmt w:val="decimal"/>
      <w:lvlText w:val="%4."/>
      <w:lvlJc w:val="left"/>
      <w:pPr>
        <w:tabs>
          <w:tab w:val="num" w:pos="1927"/>
        </w:tabs>
        <w:ind w:left="1927" w:hanging="480"/>
      </w:pPr>
    </w:lvl>
    <w:lvl w:ilvl="4" w:tplc="04090019" w:tentative="1">
      <w:start w:val="1"/>
      <w:numFmt w:val="ideographTraditional"/>
      <w:lvlText w:val="%5、"/>
      <w:lvlJc w:val="left"/>
      <w:pPr>
        <w:tabs>
          <w:tab w:val="num" w:pos="2407"/>
        </w:tabs>
        <w:ind w:left="2407" w:hanging="480"/>
      </w:pPr>
    </w:lvl>
    <w:lvl w:ilvl="5" w:tplc="0409001B" w:tentative="1">
      <w:start w:val="1"/>
      <w:numFmt w:val="lowerRoman"/>
      <w:lvlText w:val="%6."/>
      <w:lvlJc w:val="right"/>
      <w:pPr>
        <w:tabs>
          <w:tab w:val="num" w:pos="2887"/>
        </w:tabs>
        <w:ind w:left="2887" w:hanging="480"/>
      </w:pPr>
    </w:lvl>
    <w:lvl w:ilvl="6" w:tplc="0409000F" w:tentative="1">
      <w:start w:val="1"/>
      <w:numFmt w:val="decimal"/>
      <w:lvlText w:val="%7."/>
      <w:lvlJc w:val="left"/>
      <w:pPr>
        <w:tabs>
          <w:tab w:val="num" w:pos="3367"/>
        </w:tabs>
        <w:ind w:left="3367" w:hanging="480"/>
      </w:pPr>
    </w:lvl>
    <w:lvl w:ilvl="7" w:tplc="04090019" w:tentative="1">
      <w:start w:val="1"/>
      <w:numFmt w:val="ideographTraditional"/>
      <w:lvlText w:val="%8、"/>
      <w:lvlJc w:val="left"/>
      <w:pPr>
        <w:tabs>
          <w:tab w:val="num" w:pos="3847"/>
        </w:tabs>
        <w:ind w:left="3847" w:hanging="480"/>
      </w:pPr>
    </w:lvl>
    <w:lvl w:ilvl="8" w:tplc="0409001B" w:tentative="1">
      <w:start w:val="1"/>
      <w:numFmt w:val="lowerRoman"/>
      <w:lvlText w:val="%9."/>
      <w:lvlJc w:val="right"/>
      <w:pPr>
        <w:tabs>
          <w:tab w:val="num" w:pos="4327"/>
        </w:tabs>
        <w:ind w:left="4327" w:hanging="480"/>
      </w:pPr>
    </w:lvl>
  </w:abstractNum>
  <w:abstractNum w:abstractNumId="17">
    <w:nsid w:val="443B5F9B"/>
    <w:multiLevelType w:val="hybridMultilevel"/>
    <w:tmpl w:val="FD4AC546"/>
    <w:lvl w:ilvl="0" w:tplc="4750446A">
      <w:numFmt w:val="bullet"/>
      <w:lvlText w:val="※"/>
      <w:lvlJc w:val="left"/>
      <w:pPr>
        <w:tabs>
          <w:tab w:val="num" w:pos="840"/>
        </w:tabs>
        <w:ind w:left="840" w:hanging="360"/>
      </w:pPr>
      <w:rPr>
        <w:rFonts w:ascii="Times New Roman" w:eastAsia="標楷體" w:hAnsi="Times New Roman" w:cs="Times New Roman"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8">
    <w:nsid w:val="456F7B7B"/>
    <w:multiLevelType w:val="hybridMultilevel"/>
    <w:tmpl w:val="9AD8F026"/>
    <w:lvl w:ilvl="0" w:tplc="04090001">
      <w:start w:val="1"/>
      <w:numFmt w:val="bullet"/>
      <w:lvlText w:val=""/>
      <w:lvlJc w:val="left"/>
      <w:pPr>
        <w:tabs>
          <w:tab w:val="num" w:pos="1330"/>
        </w:tabs>
        <w:ind w:left="1330" w:hanging="480"/>
      </w:pPr>
      <w:rPr>
        <w:rFonts w:ascii="Wingdings" w:hAnsi="Wingding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nsid w:val="46335D69"/>
    <w:multiLevelType w:val="hybridMultilevel"/>
    <w:tmpl w:val="B4165218"/>
    <w:lvl w:ilvl="0" w:tplc="84424EA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nsid w:val="46A20596"/>
    <w:multiLevelType w:val="hybridMultilevel"/>
    <w:tmpl w:val="021064AE"/>
    <w:lvl w:ilvl="0" w:tplc="0409000F">
      <w:start w:val="1"/>
      <w:numFmt w:val="decimal"/>
      <w:lvlText w:val="%1."/>
      <w:lvlJc w:val="left"/>
      <w:pPr>
        <w:tabs>
          <w:tab w:val="num" w:pos="954"/>
        </w:tabs>
        <w:ind w:left="954" w:hanging="480"/>
      </w:pPr>
    </w:lvl>
    <w:lvl w:ilvl="1" w:tplc="04090019" w:tentative="1">
      <w:start w:val="1"/>
      <w:numFmt w:val="ideographTraditional"/>
      <w:lvlText w:val="%2、"/>
      <w:lvlJc w:val="left"/>
      <w:pPr>
        <w:tabs>
          <w:tab w:val="num" w:pos="1434"/>
        </w:tabs>
        <w:ind w:left="1434" w:hanging="480"/>
      </w:pPr>
    </w:lvl>
    <w:lvl w:ilvl="2" w:tplc="0409001B" w:tentative="1">
      <w:start w:val="1"/>
      <w:numFmt w:val="lowerRoman"/>
      <w:lvlText w:val="%3."/>
      <w:lvlJc w:val="right"/>
      <w:pPr>
        <w:tabs>
          <w:tab w:val="num" w:pos="1914"/>
        </w:tabs>
        <w:ind w:left="1914" w:hanging="480"/>
      </w:pPr>
    </w:lvl>
    <w:lvl w:ilvl="3" w:tplc="0409000F" w:tentative="1">
      <w:start w:val="1"/>
      <w:numFmt w:val="decimal"/>
      <w:lvlText w:val="%4."/>
      <w:lvlJc w:val="left"/>
      <w:pPr>
        <w:tabs>
          <w:tab w:val="num" w:pos="2394"/>
        </w:tabs>
        <w:ind w:left="2394" w:hanging="480"/>
      </w:pPr>
    </w:lvl>
    <w:lvl w:ilvl="4" w:tplc="04090019" w:tentative="1">
      <w:start w:val="1"/>
      <w:numFmt w:val="ideographTraditional"/>
      <w:lvlText w:val="%5、"/>
      <w:lvlJc w:val="left"/>
      <w:pPr>
        <w:tabs>
          <w:tab w:val="num" w:pos="2874"/>
        </w:tabs>
        <w:ind w:left="2874" w:hanging="480"/>
      </w:pPr>
    </w:lvl>
    <w:lvl w:ilvl="5" w:tplc="0409001B" w:tentative="1">
      <w:start w:val="1"/>
      <w:numFmt w:val="lowerRoman"/>
      <w:lvlText w:val="%6."/>
      <w:lvlJc w:val="right"/>
      <w:pPr>
        <w:tabs>
          <w:tab w:val="num" w:pos="3354"/>
        </w:tabs>
        <w:ind w:left="3354" w:hanging="480"/>
      </w:pPr>
    </w:lvl>
    <w:lvl w:ilvl="6" w:tplc="0409000F" w:tentative="1">
      <w:start w:val="1"/>
      <w:numFmt w:val="decimal"/>
      <w:lvlText w:val="%7."/>
      <w:lvlJc w:val="left"/>
      <w:pPr>
        <w:tabs>
          <w:tab w:val="num" w:pos="3834"/>
        </w:tabs>
        <w:ind w:left="3834" w:hanging="480"/>
      </w:pPr>
    </w:lvl>
    <w:lvl w:ilvl="7" w:tplc="04090019" w:tentative="1">
      <w:start w:val="1"/>
      <w:numFmt w:val="ideographTraditional"/>
      <w:lvlText w:val="%8、"/>
      <w:lvlJc w:val="left"/>
      <w:pPr>
        <w:tabs>
          <w:tab w:val="num" w:pos="4314"/>
        </w:tabs>
        <w:ind w:left="4314" w:hanging="480"/>
      </w:pPr>
    </w:lvl>
    <w:lvl w:ilvl="8" w:tplc="0409001B" w:tentative="1">
      <w:start w:val="1"/>
      <w:numFmt w:val="lowerRoman"/>
      <w:lvlText w:val="%9."/>
      <w:lvlJc w:val="right"/>
      <w:pPr>
        <w:tabs>
          <w:tab w:val="num" w:pos="4794"/>
        </w:tabs>
        <w:ind w:left="4794" w:hanging="480"/>
      </w:pPr>
    </w:lvl>
  </w:abstractNum>
  <w:abstractNum w:abstractNumId="21">
    <w:nsid w:val="48094773"/>
    <w:multiLevelType w:val="hybridMultilevel"/>
    <w:tmpl w:val="2C5627E0"/>
    <w:lvl w:ilvl="0" w:tplc="CC74F540">
      <w:start w:val="9"/>
      <w:numFmt w:val="bullet"/>
      <w:lvlText w:val="※"/>
      <w:lvlJc w:val="left"/>
      <w:pPr>
        <w:tabs>
          <w:tab w:val="num" w:pos="839"/>
        </w:tabs>
        <w:ind w:left="839" w:hanging="360"/>
      </w:pPr>
      <w:rPr>
        <w:rFonts w:ascii="標楷體" w:eastAsia="標楷體" w:hAnsi="標楷體" w:cs="Times New Roman" w:hint="eastAsia"/>
      </w:rPr>
    </w:lvl>
    <w:lvl w:ilvl="1" w:tplc="04090003" w:tentative="1">
      <w:start w:val="1"/>
      <w:numFmt w:val="bullet"/>
      <w:lvlText w:val=""/>
      <w:lvlJc w:val="left"/>
      <w:pPr>
        <w:tabs>
          <w:tab w:val="num" w:pos="1439"/>
        </w:tabs>
        <w:ind w:left="1439" w:hanging="480"/>
      </w:pPr>
      <w:rPr>
        <w:rFonts w:ascii="Wingdings" w:hAnsi="Wingdings" w:hint="default"/>
      </w:rPr>
    </w:lvl>
    <w:lvl w:ilvl="2" w:tplc="04090005" w:tentative="1">
      <w:start w:val="1"/>
      <w:numFmt w:val="bullet"/>
      <w:lvlText w:val=""/>
      <w:lvlJc w:val="left"/>
      <w:pPr>
        <w:tabs>
          <w:tab w:val="num" w:pos="1919"/>
        </w:tabs>
        <w:ind w:left="1919" w:hanging="480"/>
      </w:pPr>
      <w:rPr>
        <w:rFonts w:ascii="Wingdings" w:hAnsi="Wingdings" w:hint="default"/>
      </w:rPr>
    </w:lvl>
    <w:lvl w:ilvl="3" w:tplc="04090001" w:tentative="1">
      <w:start w:val="1"/>
      <w:numFmt w:val="bullet"/>
      <w:lvlText w:val=""/>
      <w:lvlJc w:val="left"/>
      <w:pPr>
        <w:tabs>
          <w:tab w:val="num" w:pos="2399"/>
        </w:tabs>
        <w:ind w:left="2399" w:hanging="480"/>
      </w:pPr>
      <w:rPr>
        <w:rFonts w:ascii="Wingdings" w:hAnsi="Wingdings" w:hint="default"/>
      </w:rPr>
    </w:lvl>
    <w:lvl w:ilvl="4" w:tplc="04090003" w:tentative="1">
      <w:start w:val="1"/>
      <w:numFmt w:val="bullet"/>
      <w:lvlText w:val=""/>
      <w:lvlJc w:val="left"/>
      <w:pPr>
        <w:tabs>
          <w:tab w:val="num" w:pos="2879"/>
        </w:tabs>
        <w:ind w:left="2879" w:hanging="480"/>
      </w:pPr>
      <w:rPr>
        <w:rFonts w:ascii="Wingdings" w:hAnsi="Wingdings" w:hint="default"/>
      </w:rPr>
    </w:lvl>
    <w:lvl w:ilvl="5" w:tplc="04090005" w:tentative="1">
      <w:start w:val="1"/>
      <w:numFmt w:val="bullet"/>
      <w:lvlText w:val=""/>
      <w:lvlJc w:val="left"/>
      <w:pPr>
        <w:tabs>
          <w:tab w:val="num" w:pos="3359"/>
        </w:tabs>
        <w:ind w:left="3359" w:hanging="480"/>
      </w:pPr>
      <w:rPr>
        <w:rFonts w:ascii="Wingdings" w:hAnsi="Wingdings" w:hint="default"/>
      </w:rPr>
    </w:lvl>
    <w:lvl w:ilvl="6" w:tplc="04090001" w:tentative="1">
      <w:start w:val="1"/>
      <w:numFmt w:val="bullet"/>
      <w:lvlText w:val=""/>
      <w:lvlJc w:val="left"/>
      <w:pPr>
        <w:tabs>
          <w:tab w:val="num" w:pos="3839"/>
        </w:tabs>
        <w:ind w:left="3839" w:hanging="480"/>
      </w:pPr>
      <w:rPr>
        <w:rFonts w:ascii="Wingdings" w:hAnsi="Wingdings" w:hint="default"/>
      </w:rPr>
    </w:lvl>
    <w:lvl w:ilvl="7" w:tplc="04090003" w:tentative="1">
      <w:start w:val="1"/>
      <w:numFmt w:val="bullet"/>
      <w:lvlText w:val=""/>
      <w:lvlJc w:val="left"/>
      <w:pPr>
        <w:tabs>
          <w:tab w:val="num" w:pos="4319"/>
        </w:tabs>
        <w:ind w:left="4319" w:hanging="480"/>
      </w:pPr>
      <w:rPr>
        <w:rFonts w:ascii="Wingdings" w:hAnsi="Wingdings" w:hint="default"/>
      </w:rPr>
    </w:lvl>
    <w:lvl w:ilvl="8" w:tplc="04090005" w:tentative="1">
      <w:start w:val="1"/>
      <w:numFmt w:val="bullet"/>
      <w:lvlText w:val=""/>
      <w:lvlJc w:val="left"/>
      <w:pPr>
        <w:tabs>
          <w:tab w:val="num" w:pos="4799"/>
        </w:tabs>
        <w:ind w:left="4799" w:hanging="480"/>
      </w:pPr>
      <w:rPr>
        <w:rFonts w:ascii="Wingdings" w:hAnsi="Wingdings" w:hint="default"/>
      </w:rPr>
    </w:lvl>
  </w:abstractNum>
  <w:abstractNum w:abstractNumId="22">
    <w:nsid w:val="48785F67"/>
    <w:multiLevelType w:val="hybridMultilevel"/>
    <w:tmpl w:val="1466F286"/>
    <w:lvl w:ilvl="0" w:tplc="E600111E">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3">
    <w:nsid w:val="48A22737"/>
    <w:multiLevelType w:val="hybridMultilevel"/>
    <w:tmpl w:val="C03EA280"/>
    <w:lvl w:ilvl="0" w:tplc="DD96684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nsid w:val="4D3414C5"/>
    <w:multiLevelType w:val="hybridMultilevel"/>
    <w:tmpl w:val="F99EA6C6"/>
    <w:lvl w:ilvl="0" w:tplc="39F862CE">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nsid w:val="4D87035D"/>
    <w:multiLevelType w:val="hybridMultilevel"/>
    <w:tmpl w:val="19C04F9C"/>
    <w:lvl w:ilvl="0" w:tplc="3FB2FCAC">
      <w:start w:val="1"/>
      <w:numFmt w:val="taiwaneseCountingThousand"/>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5B8E30DD"/>
    <w:multiLevelType w:val="hybridMultilevel"/>
    <w:tmpl w:val="93489580"/>
    <w:lvl w:ilvl="0" w:tplc="9FF6154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5D705A03"/>
    <w:multiLevelType w:val="hybridMultilevel"/>
    <w:tmpl w:val="F1ACD806"/>
    <w:lvl w:ilvl="0" w:tplc="B3C88F7C">
      <w:start w:val="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8">
    <w:nsid w:val="63FF7E41"/>
    <w:multiLevelType w:val="hybridMultilevel"/>
    <w:tmpl w:val="DD162EC2"/>
    <w:lvl w:ilvl="0" w:tplc="C76E6A98">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29">
    <w:nsid w:val="69791F2F"/>
    <w:multiLevelType w:val="hybridMultilevel"/>
    <w:tmpl w:val="67B2B816"/>
    <w:lvl w:ilvl="0" w:tplc="1C44CA7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0">
    <w:nsid w:val="70D273E2"/>
    <w:multiLevelType w:val="hybridMultilevel"/>
    <w:tmpl w:val="BE7A02FE"/>
    <w:lvl w:ilvl="0" w:tplc="5792EBB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nsid w:val="71953BE9"/>
    <w:multiLevelType w:val="hybridMultilevel"/>
    <w:tmpl w:val="FD90463C"/>
    <w:lvl w:ilvl="0" w:tplc="EB1EA518">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nsid w:val="7535447F"/>
    <w:multiLevelType w:val="hybridMultilevel"/>
    <w:tmpl w:val="BC324DF6"/>
    <w:lvl w:ilvl="0" w:tplc="56068460">
      <w:start w:val="96"/>
      <w:numFmt w:val="bullet"/>
      <w:lvlText w:val="※"/>
      <w:lvlJc w:val="left"/>
      <w:pPr>
        <w:tabs>
          <w:tab w:val="num" w:pos="840"/>
        </w:tabs>
        <w:ind w:left="840" w:hanging="360"/>
      </w:pPr>
      <w:rPr>
        <w:rFonts w:ascii="標楷體" w:eastAsia="標楷體" w:hAnsi="標楷體" w:cs="Times New Roman" w:hint="eastAsia"/>
        <w:color w:val="auto"/>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33">
    <w:nsid w:val="79DE1216"/>
    <w:multiLevelType w:val="hybridMultilevel"/>
    <w:tmpl w:val="98CEB652"/>
    <w:lvl w:ilvl="0" w:tplc="C90079FE">
      <w:start w:val="3"/>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num w:numId="1">
    <w:abstractNumId w:val="14"/>
  </w:num>
  <w:num w:numId="2">
    <w:abstractNumId w:val="10"/>
  </w:num>
  <w:num w:numId="3">
    <w:abstractNumId w:val="33"/>
  </w:num>
  <w:num w:numId="4">
    <w:abstractNumId w:val="0"/>
  </w:num>
  <w:num w:numId="5">
    <w:abstractNumId w:val="16"/>
  </w:num>
  <w:num w:numId="6">
    <w:abstractNumId w:val="3"/>
  </w:num>
  <w:num w:numId="7">
    <w:abstractNumId w:val="20"/>
  </w:num>
  <w:num w:numId="8">
    <w:abstractNumId w:val="28"/>
  </w:num>
  <w:num w:numId="9">
    <w:abstractNumId w:val="1"/>
  </w:num>
  <w:num w:numId="10">
    <w:abstractNumId w:val="8"/>
  </w:num>
  <w:num w:numId="11">
    <w:abstractNumId w:val="17"/>
  </w:num>
  <w:num w:numId="12">
    <w:abstractNumId w:val="6"/>
  </w:num>
  <w:num w:numId="13">
    <w:abstractNumId w:val="29"/>
  </w:num>
  <w:num w:numId="14">
    <w:abstractNumId w:val="31"/>
  </w:num>
  <w:num w:numId="15">
    <w:abstractNumId w:val="12"/>
  </w:num>
  <w:num w:numId="16">
    <w:abstractNumId w:val="18"/>
  </w:num>
  <w:num w:numId="17">
    <w:abstractNumId w:val="4"/>
  </w:num>
  <w:num w:numId="18">
    <w:abstractNumId w:val="13"/>
  </w:num>
  <w:num w:numId="19">
    <w:abstractNumId w:val="9"/>
  </w:num>
  <w:num w:numId="20">
    <w:abstractNumId w:val="15"/>
  </w:num>
  <w:num w:numId="21">
    <w:abstractNumId w:val="23"/>
  </w:num>
  <w:num w:numId="22">
    <w:abstractNumId w:val="24"/>
  </w:num>
  <w:num w:numId="23">
    <w:abstractNumId w:val="30"/>
  </w:num>
  <w:num w:numId="24">
    <w:abstractNumId w:val="26"/>
  </w:num>
  <w:num w:numId="25">
    <w:abstractNumId w:val="27"/>
  </w:num>
  <w:num w:numId="26">
    <w:abstractNumId w:val="7"/>
  </w:num>
  <w:num w:numId="27">
    <w:abstractNumId w:val="2"/>
  </w:num>
  <w:num w:numId="28">
    <w:abstractNumId w:val="5"/>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11"/>
  </w:num>
  <w:num w:numId="32">
    <w:abstractNumId w:val="21"/>
  </w:num>
  <w:num w:numId="33">
    <w:abstractNumId w:val="32"/>
  </w:num>
  <w:num w:numId="34">
    <w:abstractNumId w:val="1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DCA"/>
    <w:rsid w:val="00000EA7"/>
    <w:rsid w:val="00001096"/>
    <w:rsid w:val="0000124C"/>
    <w:rsid w:val="00002443"/>
    <w:rsid w:val="000024BD"/>
    <w:rsid w:val="00004598"/>
    <w:rsid w:val="000057C2"/>
    <w:rsid w:val="00006228"/>
    <w:rsid w:val="0000643E"/>
    <w:rsid w:val="00006B43"/>
    <w:rsid w:val="00007438"/>
    <w:rsid w:val="00007674"/>
    <w:rsid w:val="000078C1"/>
    <w:rsid w:val="000115E6"/>
    <w:rsid w:val="00012231"/>
    <w:rsid w:val="00013790"/>
    <w:rsid w:val="000153DA"/>
    <w:rsid w:val="000155F3"/>
    <w:rsid w:val="00017A9F"/>
    <w:rsid w:val="00021733"/>
    <w:rsid w:val="00021BFA"/>
    <w:rsid w:val="000229AE"/>
    <w:rsid w:val="00022BC3"/>
    <w:rsid w:val="00023890"/>
    <w:rsid w:val="00024D95"/>
    <w:rsid w:val="00024EDB"/>
    <w:rsid w:val="000253F3"/>
    <w:rsid w:val="000254E4"/>
    <w:rsid w:val="00026555"/>
    <w:rsid w:val="00026816"/>
    <w:rsid w:val="00027996"/>
    <w:rsid w:val="00027F17"/>
    <w:rsid w:val="000313C7"/>
    <w:rsid w:val="00031763"/>
    <w:rsid w:val="00032BAA"/>
    <w:rsid w:val="00034BEB"/>
    <w:rsid w:val="00035701"/>
    <w:rsid w:val="00036468"/>
    <w:rsid w:val="00036C68"/>
    <w:rsid w:val="00040FBF"/>
    <w:rsid w:val="000413E1"/>
    <w:rsid w:val="00043525"/>
    <w:rsid w:val="00043EDB"/>
    <w:rsid w:val="00044508"/>
    <w:rsid w:val="0004457D"/>
    <w:rsid w:val="000456C5"/>
    <w:rsid w:val="000459A6"/>
    <w:rsid w:val="00050E3F"/>
    <w:rsid w:val="0005128D"/>
    <w:rsid w:val="00052825"/>
    <w:rsid w:val="00052A9E"/>
    <w:rsid w:val="0005315F"/>
    <w:rsid w:val="000536C1"/>
    <w:rsid w:val="00054ACD"/>
    <w:rsid w:val="00055177"/>
    <w:rsid w:val="00055A97"/>
    <w:rsid w:val="000564DF"/>
    <w:rsid w:val="00056759"/>
    <w:rsid w:val="00056CDC"/>
    <w:rsid w:val="00057549"/>
    <w:rsid w:val="00057A76"/>
    <w:rsid w:val="00057D1D"/>
    <w:rsid w:val="000613CA"/>
    <w:rsid w:val="00064B0D"/>
    <w:rsid w:val="0006631C"/>
    <w:rsid w:val="000675CF"/>
    <w:rsid w:val="000679A2"/>
    <w:rsid w:val="000679D0"/>
    <w:rsid w:val="00070477"/>
    <w:rsid w:val="000714D6"/>
    <w:rsid w:val="00073DFB"/>
    <w:rsid w:val="0007423E"/>
    <w:rsid w:val="0007466C"/>
    <w:rsid w:val="00076BB5"/>
    <w:rsid w:val="0007749D"/>
    <w:rsid w:val="00077EA7"/>
    <w:rsid w:val="00080A7A"/>
    <w:rsid w:val="00086A27"/>
    <w:rsid w:val="0009097B"/>
    <w:rsid w:val="00091A04"/>
    <w:rsid w:val="00092327"/>
    <w:rsid w:val="0009351C"/>
    <w:rsid w:val="0009388C"/>
    <w:rsid w:val="000949F6"/>
    <w:rsid w:val="0009500F"/>
    <w:rsid w:val="0009622F"/>
    <w:rsid w:val="00096B39"/>
    <w:rsid w:val="000A0D30"/>
    <w:rsid w:val="000A1318"/>
    <w:rsid w:val="000A1CF8"/>
    <w:rsid w:val="000A2537"/>
    <w:rsid w:val="000A2CDA"/>
    <w:rsid w:val="000A3320"/>
    <w:rsid w:val="000A468D"/>
    <w:rsid w:val="000B0699"/>
    <w:rsid w:val="000B0D75"/>
    <w:rsid w:val="000B18BC"/>
    <w:rsid w:val="000B199F"/>
    <w:rsid w:val="000B1ADF"/>
    <w:rsid w:val="000B1B49"/>
    <w:rsid w:val="000B462A"/>
    <w:rsid w:val="000C0C24"/>
    <w:rsid w:val="000C19B7"/>
    <w:rsid w:val="000C1B55"/>
    <w:rsid w:val="000C2081"/>
    <w:rsid w:val="000C28E3"/>
    <w:rsid w:val="000C2B27"/>
    <w:rsid w:val="000C33E1"/>
    <w:rsid w:val="000C6982"/>
    <w:rsid w:val="000C6BAE"/>
    <w:rsid w:val="000C6BF7"/>
    <w:rsid w:val="000C6C29"/>
    <w:rsid w:val="000D30F4"/>
    <w:rsid w:val="000D5376"/>
    <w:rsid w:val="000D553E"/>
    <w:rsid w:val="000D6480"/>
    <w:rsid w:val="000D6FD1"/>
    <w:rsid w:val="000E081F"/>
    <w:rsid w:val="000E08E5"/>
    <w:rsid w:val="000E1586"/>
    <w:rsid w:val="000E2D5D"/>
    <w:rsid w:val="000E3B91"/>
    <w:rsid w:val="000E3E23"/>
    <w:rsid w:val="000E432E"/>
    <w:rsid w:val="000E4AFC"/>
    <w:rsid w:val="000E4E32"/>
    <w:rsid w:val="000E4E5F"/>
    <w:rsid w:val="000E5E69"/>
    <w:rsid w:val="000F0C67"/>
    <w:rsid w:val="000F0F28"/>
    <w:rsid w:val="000F2F01"/>
    <w:rsid w:val="000F415F"/>
    <w:rsid w:val="000F480D"/>
    <w:rsid w:val="000F49BD"/>
    <w:rsid w:val="000F49ED"/>
    <w:rsid w:val="000F5FFD"/>
    <w:rsid w:val="000F7FE5"/>
    <w:rsid w:val="00100297"/>
    <w:rsid w:val="001015EF"/>
    <w:rsid w:val="00101DC1"/>
    <w:rsid w:val="00105CCB"/>
    <w:rsid w:val="00107CB8"/>
    <w:rsid w:val="00110351"/>
    <w:rsid w:val="001110A5"/>
    <w:rsid w:val="001116F5"/>
    <w:rsid w:val="00112908"/>
    <w:rsid w:val="00115818"/>
    <w:rsid w:val="00115840"/>
    <w:rsid w:val="0011630E"/>
    <w:rsid w:val="001176A6"/>
    <w:rsid w:val="00121103"/>
    <w:rsid w:val="001223A7"/>
    <w:rsid w:val="0012552B"/>
    <w:rsid w:val="0012601B"/>
    <w:rsid w:val="0013049A"/>
    <w:rsid w:val="00131699"/>
    <w:rsid w:val="00132282"/>
    <w:rsid w:val="001323F2"/>
    <w:rsid w:val="00133781"/>
    <w:rsid w:val="00133C69"/>
    <w:rsid w:val="00133CAE"/>
    <w:rsid w:val="0013587D"/>
    <w:rsid w:val="00135D4B"/>
    <w:rsid w:val="00136047"/>
    <w:rsid w:val="00136F73"/>
    <w:rsid w:val="00137893"/>
    <w:rsid w:val="00140C58"/>
    <w:rsid w:val="00141543"/>
    <w:rsid w:val="00147804"/>
    <w:rsid w:val="00147F71"/>
    <w:rsid w:val="00152302"/>
    <w:rsid w:val="00153742"/>
    <w:rsid w:val="0015505B"/>
    <w:rsid w:val="001556A6"/>
    <w:rsid w:val="00160928"/>
    <w:rsid w:val="001614E5"/>
    <w:rsid w:val="00161A59"/>
    <w:rsid w:val="001624FC"/>
    <w:rsid w:val="0016357E"/>
    <w:rsid w:val="001648B7"/>
    <w:rsid w:val="00165FFF"/>
    <w:rsid w:val="0016637E"/>
    <w:rsid w:val="00167109"/>
    <w:rsid w:val="00167B65"/>
    <w:rsid w:val="001703E5"/>
    <w:rsid w:val="00170538"/>
    <w:rsid w:val="00170B6C"/>
    <w:rsid w:val="0017266E"/>
    <w:rsid w:val="0017559F"/>
    <w:rsid w:val="00175A2B"/>
    <w:rsid w:val="0017632C"/>
    <w:rsid w:val="00176D7E"/>
    <w:rsid w:val="00181816"/>
    <w:rsid w:val="001818F7"/>
    <w:rsid w:val="00182A58"/>
    <w:rsid w:val="00183559"/>
    <w:rsid w:val="001902D0"/>
    <w:rsid w:val="001903AF"/>
    <w:rsid w:val="00190BAF"/>
    <w:rsid w:val="00190FAC"/>
    <w:rsid w:val="0019118A"/>
    <w:rsid w:val="0019122C"/>
    <w:rsid w:val="00191D77"/>
    <w:rsid w:val="00191FDB"/>
    <w:rsid w:val="00192689"/>
    <w:rsid w:val="00192F65"/>
    <w:rsid w:val="00193093"/>
    <w:rsid w:val="00194ABF"/>
    <w:rsid w:val="0019798C"/>
    <w:rsid w:val="00197D29"/>
    <w:rsid w:val="001A018C"/>
    <w:rsid w:val="001A1B61"/>
    <w:rsid w:val="001A1D28"/>
    <w:rsid w:val="001A2153"/>
    <w:rsid w:val="001A21D5"/>
    <w:rsid w:val="001A320C"/>
    <w:rsid w:val="001A550F"/>
    <w:rsid w:val="001A5A37"/>
    <w:rsid w:val="001A5ADC"/>
    <w:rsid w:val="001A63E7"/>
    <w:rsid w:val="001A6A7A"/>
    <w:rsid w:val="001A6B23"/>
    <w:rsid w:val="001B2BA5"/>
    <w:rsid w:val="001B2CD4"/>
    <w:rsid w:val="001B2DB7"/>
    <w:rsid w:val="001B681B"/>
    <w:rsid w:val="001B7333"/>
    <w:rsid w:val="001B7AD1"/>
    <w:rsid w:val="001C121C"/>
    <w:rsid w:val="001C2288"/>
    <w:rsid w:val="001C28DF"/>
    <w:rsid w:val="001C28FA"/>
    <w:rsid w:val="001C472F"/>
    <w:rsid w:val="001C4937"/>
    <w:rsid w:val="001C5403"/>
    <w:rsid w:val="001C5B18"/>
    <w:rsid w:val="001C5D4A"/>
    <w:rsid w:val="001C61BD"/>
    <w:rsid w:val="001C63E9"/>
    <w:rsid w:val="001C6E62"/>
    <w:rsid w:val="001C7776"/>
    <w:rsid w:val="001D022B"/>
    <w:rsid w:val="001D1E5E"/>
    <w:rsid w:val="001D4E08"/>
    <w:rsid w:val="001D5104"/>
    <w:rsid w:val="001D5124"/>
    <w:rsid w:val="001D5A6D"/>
    <w:rsid w:val="001D6699"/>
    <w:rsid w:val="001D7A2D"/>
    <w:rsid w:val="001E5F7F"/>
    <w:rsid w:val="001E6688"/>
    <w:rsid w:val="001E6D11"/>
    <w:rsid w:val="001F0DFF"/>
    <w:rsid w:val="001F126B"/>
    <w:rsid w:val="001F3E94"/>
    <w:rsid w:val="001F4A3B"/>
    <w:rsid w:val="001F4E13"/>
    <w:rsid w:val="001F5279"/>
    <w:rsid w:val="001F6B2C"/>
    <w:rsid w:val="001F7050"/>
    <w:rsid w:val="001F764E"/>
    <w:rsid w:val="00200096"/>
    <w:rsid w:val="0020197F"/>
    <w:rsid w:val="00201AAF"/>
    <w:rsid w:val="002025BD"/>
    <w:rsid w:val="0020321D"/>
    <w:rsid w:val="00203414"/>
    <w:rsid w:val="002046FE"/>
    <w:rsid w:val="00205BEE"/>
    <w:rsid w:val="00206D56"/>
    <w:rsid w:val="00210526"/>
    <w:rsid w:val="00210D5D"/>
    <w:rsid w:val="00210E49"/>
    <w:rsid w:val="002112D0"/>
    <w:rsid w:val="00214906"/>
    <w:rsid w:val="00215ED1"/>
    <w:rsid w:val="00215F26"/>
    <w:rsid w:val="002207D6"/>
    <w:rsid w:val="002210CD"/>
    <w:rsid w:val="002233BA"/>
    <w:rsid w:val="002257CA"/>
    <w:rsid w:val="00230E11"/>
    <w:rsid w:val="002329BE"/>
    <w:rsid w:val="00232B00"/>
    <w:rsid w:val="0023350A"/>
    <w:rsid w:val="00235362"/>
    <w:rsid w:val="00236288"/>
    <w:rsid w:val="00241226"/>
    <w:rsid w:val="00241DBD"/>
    <w:rsid w:val="00241F9D"/>
    <w:rsid w:val="00242256"/>
    <w:rsid w:val="00242FA4"/>
    <w:rsid w:val="0024326B"/>
    <w:rsid w:val="002433D5"/>
    <w:rsid w:val="00243B31"/>
    <w:rsid w:val="0024471E"/>
    <w:rsid w:val="00244A8D"/>
    <w:rsid w:val="002472D7"/>
    <w:rsid w:val="002504ED"/>
    <w:rsid w:val="00252AE8"/>
    <w:rsid w:val="0025341F"/>
    <w:rsid w:val="002550A3"/>
    <w:rsid w:val="00255B34"/>
    <w:rsid w:val="00262078"/>
    <w:rsid w:val="00263DC1"/>
    <w:rsid w:val="002641AF"/>
    <w:rsid w:val="002653F6"/>
    <w:rsid w:val="002670FE"/>
    <w:rsid w:val="00267520"/>
    <w:rsid w:val="00270783"/>
    <w:rsid w:val="00273A8A"/>
    <w:rsid w:val="00273E69"/>
    <w:rsid w:val="0027474B"/>
    <w:rsid w:val="002756C1"/>
    <w:rsid w:val="0027673E"/>
    <w:rsid w:val="0028025A"/>
    <w:rsid w:val="0028041D"/>
    <w:rsid w:val="002818CA"/>
    <w:rsid w:val="00283379"/>
    <w:rsid w:val="002835CC"/>
    <w:rsid w:val="00283FD9"/>
    <w:rsid w:val="002849F2"/>
    <w:rsid w:val="00284D9F"/>
    <w:rsid w:val="00285019"/>
    <w:rsid w:val="00285360"/>
    <w:rsid w:val="00285A20"/>
    <w:rsid w:val="0028666C"/>
    <w:rsid w:val="002878F1"/>
    <w:rsid w:val="00287E39"/>
    <w:rsid w:val="00290838"/>
    <w:rsid w:val="00292016"/>
    <w:rsid w:val="00292A93"/>
    <w:rsid w:val="00293B6C"/>
    <w:rsid w:val="0029431B"/>
    <w:rsid w:val="0029797A"/>
    <w:rsid w:val="002A054B"/>
    <w:rsid w:val="002A2B21"/>
    <w:rsid w:val="002A41D2"/>
    <w:rsid w:val="002A4660"/>
    <w:rsid w:val="002A4A1E"/>
    <w:rsid w:val="002A5092"/>
    <w:rsid w:val="002A5ADA"/>
    <w:rsid w:val="002A5CD4"/>
    <w:rsid w:val="002A5FA1"/>
    <w:rsid w:val="002B0838"/>
    <w:rsid w:val="002B1E5F"/>
    <w:rsid w:val="002B1F0A"/>
    <w:rsid w:val="002B1F93"/>
    <w:rsid w:val="002B2288"/>
    <w:rsid w:val="002B2EEA"/>
    <w:rsid w:val="002B33A6"/>
    <w:rsid w:val="002B5EB2"/>
    <w:rsid w:val="002B64C3"/>
    <w:rsid w:val="002B6742"/>
    <w:rsid w:val="002B7D0C"/>
    <w:rsid w:val="002C163B"/>
    <w:rsid w:val="002C184B"/>
    <w:rsid w:val="002C1C46"/>
    <w:rsid w:val="002C1EC6"/>
    <w:rsid w:val="002C2C65"/>
    <w:rsid w:val="002C34B3"/>
    <w:rsid w:val="002C3909"/>
    <w:rsid w:val="002C39AC"/>
    <w:rsid w:val="002C3FAB"/>
    <w:rsid w:val="002C53AA"/>
    <w:rsid w:val="002C595F"/>
    <w:rsid w:val="002C5C5D"/>
    <w:rsid w:val="002C6161"/>
    <w:rsid w:val="002C684A"/>
    <w:rsid w:val="002C6D2E"/>
    <w:rsid w:val="002D105D"/>
    <w:rsid w:val="002D1BAF"/>
    <w:rsid w:val="002D227E"/>
    <w:rsid w:val="002D28FD"/>
    <w:rsid w:val="002D2AED"/>
    <w:rsid w:val="002D4FF1"/>
    <w:rsid w:val="002D5087"/>
    <w:rsid w:val="002D5EB2"/>
    <w:rsid w:val="002D6C1E"/>
    <w:rsid w:val="002D6C79"/>
    <w:rsid w:val="002D771B"/>
    <w:rsid w:val="002E011A"/>
    <w:rsid w:val="002E02D4"/>
    <w:rsid w:val="002E0326"/>
    <w:rsid w:val="002E2F92"/>
    <w:rsid w:val="002E360C"/>
    <w:rsid w:val="002E3DEC"/>
    <w:rsid w:val="002E5D84"/>
    <w:rsid w:val="002E609F"/>
    <w:rsid w:val="002E6A68"/>
    <w:rsid w:val="002E730D"/>
    <w:rsid w:val="002F169B"/>
    <w:rsid w:val="002F1ABB"/>
    <w:rsid w:val="002F22D9"/>
    <w:rsid w:val="002F3FA6"/>
    <w:rsid w:val="002F6E01"/>
    <w:rsid w:val="00300245"/>
    <w:rsid w:val="0030106F"/>
    <w:rsid w:val="00302736"/>
    <w:rsid w:val="003030F1"/>
    <w:rsid w:val="00304583"/>
    <w:rsid w:val="00304A1C"/>
    <w:rsid w:val="00304F2D"/>
    <w:rsid w:val="00305242"/>
    <w:rsid w:val="003079BF"/>
    <w:rsid w:val="003118CA"/>
    <w:rsid w:val="00312B72"/>
    <w:rsid w:val="003160E3"/>
    <w:rsid w:val="003171BD"/>
    <w:rsid w:val="003178D4"/>
    <w:rsid w:val="003222B3"/>
    <w:rsid w:val="00322A13"/>
    <w:rsid w:val="00322D8D"/>
    <w:rsid w:val="00322FB0"/>
    <w:rsid w:val="00323279"/>
    <w:rsid w:val="003250B9"/>
    <w:rsid w:val="0032586D"/>
    <w:rsid w:val="00326172"/>
    <w:rsid w:val="00330441"/>
    <w:rsid w:val="003349AA"/>
    <w:rsid w:val="00335A68"/>
    <w:rsid w:val="00336693"/>
    <w:rsid w:val="00336BB3"/>
    <w:rsid w:val="00337C3D"/>
    <w:rsid w:val="0034048B"/>
    <w:rsid w:val="00340E51"/>
    <w:rsid w:val="00341D94"/>
    <w:rsid w:val="0034404B"/>
    <w:rsid w:val="00344137"/>
    <w:rsid w:val="00344C11"/>
    <w:rsid w:val="00345E11"/>
    <w:rsid w:val="003509C7"/>
    <w:rsid w:val="00350A64"/>
    <w:rsid w:val="00352E31"/>
    <w:rsid w:val="00352F4F"/>
    <w:rsid w:val="00353366"/>
    <w:rsid w:val="0035475C"/>
    <w:rsid w:val="003549B3"/>
    <w:rsid w:val="00354F68"/>
    <w:rsid w:val="00356AF9"/>
    <w:rsid w:val="00360272"/>
    <w:rsid w:val="0036053D"/>
    <w:rsid w:val="0036079F"/>
    <w:rsid w:val="00360B9F"/>
    <w:rsid w:val="00361FEF"/>
    <w:rsid w:val="00365DE9"/>
    <w:rsid w:val="00366B4F"/>
    <w:rsid w:val="0037077F"/>
    <w:rsid w:val="003708B0"/>
    <w:rsid w:val="003722EF"/>
    <w:rsid w:val="00373249"/>
    <w:rsid w:val="00373F3E"/>
    <w:rsid w:val="0037666A"/>
    <w:rsid w:val="0037735A"/>
    <w:rsid w:val="00381093"/>
    <w:rsid w:val="00383245"/>
    <w:rsid w:val="00383A54"/>
    <w:rsid w:val="00385C5A"/>
    <w:rsid w:val="00385FE1"/>
    <w:rsid w:val="00387099"/>
    <w:rsid w:val="00387C05"/>
    <w:rsid w:val="00392955"/>
    <w:rsid w:val="00392A8F"/>
    <w:rsid w:val="00392CD5"/>
    <w:rsid w:val="003946F4"/>
    <w:rsid w:val="00397617"/>
    <w:rsid w:val="003A1FB8"/>
    <w:rsid w:val="003A2D6C"/>
    <w:rsid w:val="003A478E"/>
    <w:rsid w:val="003A4B04"/>
    <w:rsid w:val="003A4CED"/>
    <w:rsid w:val="003A735F"/>
    <w:rsid w:val="003A7CC0"/>
    <w:rsid w:val="003B1C89"/>
    <w:rsid w:val="003B3E01"/>
    <w:rsid w:val="003B47C1"/>
    <w:rsid w:val="003B4F3C"/>
    <w:rsid w:val="003B505A"/>
    <w:rsid w:val="003B5209"/>
    <w:rsid w:val="003B548B"/>
    <w:rsid w:val="003C0111"/>
    <w:rsid w:val="003C0883"/>
    <w:rsid w:val="003C1BF0"/>
    <w:rsid w:val="003C1C60"/>
    <w:rsid w:val="003C2B77"/>
    <w:rsid w:val="003C3C27"/>
    <w:rsid w:val="003C4AFF"/>
    <w:rsid w:val="003C533E"/>
    <w:rsid w:val="003C6537"/>
    <w:rsid w:val="003C7E72"/>
    <w:rsid w:val="003D0E40"/>
    <w:rsid w:val="003D1C0F"/>
    <w:rsid w:val="003D25F1"/>
    <w:rsid w:val="003D44C7"/>
    <w:rsid w:val="003D4660"/>
    <w:rsid w:val="003D640A"/>
    <w:rsid w:val="003D722E"/>
    <w:rsid w:val="003D78DC"/>
    <w:rsid w:val="003D7B5C"/>
    <w:rsid w:val="003E0EC9"/>
    <w:rsid w:val="003E1141"/>
    <w:rsid w:val="003E21A5"/>
    <w:rsid w:val="003E37FA"/>
    <w:rsid w:val="003E4CEB"/>
    <w:rsid w:val="003E4FD9"/>
    <w:rsid w:val="003E530C"/>
    <w:rsid w:val="003E53E1"/>
    <w:rsid w:val="003E56FF"/>
    <w:rsid w:val="003F06ED"/>
    <w:rsid w:val="003F0B01"/>
    <w:rsid w:val="003F1BEA"/>
    <w:rsid w:val="003F291E"/>
    <w:rsid w:val="003F4304"/>
    <w:rsid w:val="003F46C9"/>
    <w:rsid w:val="003F4913"/>
    <w:rsid w:val="003F5856"/>
    <w:rsid w:val="003F58EF"/>
    <w:rsid w:val="004006AC"/>
    <w:rsid w:val="00401573"/>
    <w:rsid w:val="00401C96"/>
    <w:rsid w:val="00401E3B"/>
    <w:rsid w:val="00402A7C"/>
    <w:rsid w:val="00406776"/>
    <w:rsid w:val="00407919"/>
    <w:rsid w:val="0041042C"/>
    <w:rsid w:val="00411632"/>
    <w:rsid w:val="0041184C"/>
    <w:rsid w:val="0041287F"/>
    <w:rsid w:val="00414496"/>
    <w:rsid w:val="00415B0C"/>
    <w:rsid w:val="0041690A"/>
    <w:rsid w:val="00420554"/>
    <w:rsid w:val="00425216"/>
    <w:rsid w:val="00426993"/>
    <w:rsid w:val="00426B38"/>
    <w:rsid w:val="004329DB"/>
    <w:rsid w:val="00435CAE"/>
    <w:rsid w:val="00436379"/>
    <w:rsid w:val="0043663D"/>
    <w:rsid w:val="0044032A"/>
    <w:rsid w:val="00441814"/>
    <w:rsid w:val="004425AA"/>
    <w:rsid w:val="00442FE1"/>
    <w:rsid w:val="00443BE7"/>
    <w:rsid w:val="00444102"/>
    <w:rsid w:val="00446ED3"/>
    <w:rsid w:val="00447126"/>
    <w:rsid w:val="004475CC"/>
    <w:rsid w:val="00450A65"/>
    <w:rsid w:val="00450C8C"/>
    <w:rsid w:val="00450DAB"/>
    <w:rsid w:val="004512AF"/>
    <w:rsid w:val="00451FF7"/>
    <w:rsid w:val="00460569"/>
    <w:rsid w:val="00462310"/>
    <w:rsid w:val="00462357"/>
    <w:rsid w:val="004631F2"/>
    <w:rsid w:val="004641B4"/>
    <w:rsid w:val="00465159"/>
    <w:rsid w:val="00466613"/>
    <w:rsid w:val="00467DA3"/>
    <w:rsid w:val="004724C9"/>
    <w:rsid w:val="00473B22"/>
    <w:rsid w:val="004740A1"/>
    <w:rsid w:val="00475D51"/>
    <w:rsid w:val="004774B5"/>
    <w:rsid w:val="004776E2"/>
    <w:rsid w:val="00477B08"/>
    <w:rsid w:val="00481F89"/>
    <w:rsid w:val="00484332"/>
    <w:rsid w:val="00484A28"/>
    <w:rsid w:val="0048584F"/>
    <w:rsid w:val="00486421"/>
    <w:rsid w:val="00490196"/>
    <w:rsid w:val="00490F47"/>
    <w:rsid w:val="004929B9"/>
    <w:rsid w:val="00492C24"/>
    <w:rsid w:val="0049606B"/>
    <w:rsid w:val="0049683A"/>
    <w:rsid w:val="004A0A90"/>
    <w:rsid w:val="004A0F63"/>
    <w:rsid w:val="004A192B"/>
    <w:rsid w:val="004A1B10"/>
    <w:rsid w:val="004A366F"/>
    <w:rsid w:val="004A6113"/>
    <w:rsid w:val="004A61D3"/>
    <w:rsid w:val="004A61EC"/>
    <w:rsid w:val="004A6F24"/>
    <w:rsid w:val="004B0827"/>
    <w:rsid w:val="004B1845"/>
    <w:rsid w:val="004B2A05"/>
    <w:rsid w:val="004B3195"/>
    <w:rsid w:val="004B3485"/>
    <w:rsid w:val="004B36D6"/>
    <w:rsid w:val="004B3A3D"/>
    <w:rsid w:val="004B5282"/>
    <w:rsid w:val="004B6DF4"/>
    <w:rsid w:val="004B75D2"/>
    <w:rsid w:val="004B7B8E"/>
    <w:rsid w:val="004B7D18"/>
    <w:rsid w:val="004C0397"/>
    <w:rsid w:val="004C1788"/>
    <w:rsid w:val="004C1D55"/>
    <w:rsid w:val="004C39D3"/>
    <w:rsid w:val="004C5B15"/>
    <w:rsid w:val="004C6D57"/>
    <w:rsid w:val="004C6F22"/>
    <w:rsid w:val="004C7D22"/>
    <w:rsid w:val="004D01A0"/>
    <w:rsid w:val="004D0388"/>
    <w:rsid w:val="004D063F"/>
    <w:rsid w:val="004D15CB"/>
    <w:rsid w:val="004D1D0B"/>
    <w:rsid w:val="004D350E"/>
    <w:rsid w:val="004D43A0"/>
    <w:rsid w:val="004D6D24"/>
    <w:rsid w:val="004D791D"/>
    <w:rsid w:val="004D7EF6"/>
    <w:rsid w:val="004E1BEE"/>
    <w:rsid w:val="004E24EC"/>
    <w:rsid w:val="004E2A80"/>
    <w:rsid w:val="004E3AD5"/>
    <w:rsid w:val="004E4C05"/>
    <w:rsid w:val="004E7169"/>
    <w:rsid w:val="004F05C6"/>
    <w:rsid w:val="004F1410"/>
    <w:rsid w:val="004F17A0"/>
    <w:rsid w:val="004F2354"/>
    <w:rsid w:val="004F3507"/>
    <w:rsid w:val="004F4101"/>
    <w:rsid w:val="004F41C4"/>
    <w:rsid w:val="004F499C"/>
    <w:rsid w:val="004F557D"/>
    <w:rsid w:val="004F5AE6"/>
    <w:rsid w:val="004F63C5"/>
    <w:rsid w:val="004F6B4D"/>
    <w:rsid w:val="004F7744"/>
    <w:rsid w:val="004F7944"/>
    <w:rsid w:val="004F7C3B"/>
    <w:rsid w:val="004F7EE7"/>
    <w:rsid w:val="005005E6"/>
    <w:rsid w:val="0050081E"/>
    <w:rsid w:val="0050443E"/>
    <w:rsid w:val="00504915"/>
    <w:rsid w:val="00506A3C"/>
    <w:rsid w:val="00506F42"/>
    <w:rsid w:val="005073A2"/>
    <w:rsid w:val="00510D70"/>
    <w:rsid w:val="00511D16"/>
    <w:rsid w:val="00511DE7"/>
    <w:rsid w:val="0051505A"/>
    <w:rsid w:val="00516E9B"/>
    <w:rsid w:val="00521142"/>
    <w:rsid w:val="00521CD5"/>
    <w:rsid w:val="005220AF"/>
    <w:rsid w:val="00522823"/>
    <w:rsid w:val="00522DEA"/>
    <w:rsid w:val="005257CD"/>
    <w:rsid w:val="005271C8"/>
    <w:rsid w:val="005273B2"/>
    <w:rsid w:val="005306A5"/>
    <w:rsid w:val="005309BD"/>
    <w:rsid w:val="005317A8"/>
    <w:rsid w:val="00535551"/>
    <w:rsid w:val="00535684"/>
    <w:rsid w:val="005362F3"/>
    <w:rsid w:val="0053631D"/>
    <w:rsid w:val="00536C6B"/>
    <w:rsid w:val="00536CED"/>
    <w:rsid w:val="00537001"/>
    <w:rsid w:val="00544898"/>
    <w:rsid w:val="005458AA"/>
    <w:rsid w:val="005462E4"/>
    <w:rsid w:val="00546638"/>
    <w:rsid w:val="005512DF"/>
    <w:rsid w:val="00551466"/>
    <w:rsid w:val="00553EBC"/>
    <w:rsid w:val="005559E4"/>
    <w:rsid w:val="0055619D"/>
    <w:rsid w:val="005561D3"/>
    <w:rsid w:val="00556B0A"/>
    <w:rsid w:val="005573E7"/>
    <w:rsid w:val="005575E9"/>
    <w:rsid w:val="00557C2F"/>
    <w:rsid w:val="005610CE"/>
    <w:rsid w:val="00561E09"/>
    <w:rsid w:val="005627FD"/>
    <w:rsid w:val="00562B98"/>
    <w:rsid w:val="00563D21"/>
    <w:rsid w:val="00564963"/>
    <w:rsid w:val="00564A7E"/>
    <w:rsid w:val="00570A2F"/>
    <w:rsid w:val="00570F04"/>
    <w:rsid w:val="00572AC7"/>
    <w:rsid w:val="00573378"/>
    <w:rsid w:val="00573B76"/>
    <w:rsid w:val="00573BAA"/>
    <w:rsid w:val="00573DD0"/>
    <w:rsid w:val="00574DCC"/>
    <w:rsid w:val="00574EF3"/>
    <w:rsid w:val="005756F0"/>
    <w:rsid w:val="00575722"/>
    <w:rsid w:val="00575736"/>
    <w:rsid w:val="005758FA"/>
    <w:rsid w:val="00576A5F"/>
    <w:rsid w:val="0057728D"/>
    <w:rsid w:val="00577DC7"/>
    <w:rsid w:val="005800F2"/>
    <w:rsid w:val="00590916"/>
    <w:rsid w:val="00593D65"/>
    <w:rsid w:val="00593EA1"/>
    <w:rsid w:val="005941A8"/>
    <w:rsid w:val="0059441E"/>
    <w:rsid w:val="00595471"/>
    <w:rsid w:val="00596730"/>
    <w:rsid w:val="005969F1"/>
    <w:rsid w:val="005A0DD9"/>
    <w:rsid w:val="005A2595"/>
    <w:rsid w:val="005A2BF8"/>
    <w:rsid w:val="005A36BD"/>
    <w:rsid w:val="005A37FA"/>
    <w:rsid w:val="005A54F7"/>
    <w:rsid w:val="005A5996"/>
    <w:rsid w:val="005A6C2C"/>
    <w:rsid w:val="005B0408"/>
    <w:rsid w:val="005B1008"/>
    <w:rsid w:val="005B2663"/>
    <w:rsid w:val="005B4440"/>
    <w:rsid w:val="005B69B4"/>
    <w:rsid w:val="005C168F"/>
    <w:rsid w:val="005C21FD"/>
    <w:rsid w:val="005C33EF"/>
    <w:rsid w:val="005C3EE9"/>
    <w:rsid w:val="005C5110"/>
    <w:rsid w:val="005C5642"/>
    <w:rsid w:val="005C5994"/>
    <w:rsid w:val="005C6912"/>
    <w:rsid w:val="005C6EB1"/>
    <w:rsid w:val="005D0DE1"/>
    <w:rsid w:val="005D2575"/>
    <w:rsid w:val="005D2A44"/>
    <w:rsid w:val="005D2A9E"/>
    <w:rsid w:val="005D2B2F"/>
    <w:rsid w:val="005D2F0B"/>
    <w:rsid w:val="005D2F5C"/>
    <w:rsid w:val="005D5374"/>
    <w:rsid w:val="005D6466"/>
    <w:rsid w:val="005D7C09"/>
    <w:rsid w:val="005E165A"/>
    <w:rsid w:val="005E17E2"/>
    <w:rsid w:val="005E1E80"/>
    <w:rsid w:val="005E2219"/>
    <w:rsid w:val="005E4D0E"/>
    <w:rsid w:val="005E50C5"/>
    <w:rsid w:val="005E53E7"/>
    <w:rsid w:val="005E6F8E"/>
    <w:rsid w:val="005F044E"/>
    <w:rsid w:val="005F0AC6"/>
    <w:rsid w:val="005F3F8F"/>
    <w:rsid w:val="005F491F"/>
    <w:rsid w:val="005F56FF"/>
    <w:rsid w:val="005F5F99"/>
    <w:rsid w:val="005F6350"/>
    <w:rsid w:val="005F6E9D"/>
    <w:rsid w:val="005F719B"/>
    <w:rsid w:val="00601465"/>
    <w:rsid w:val="006027C0"/>
    <w:rsid w:val="00602ADC"/>
    <w:rsid w:val="00603BF7"/>
    <w:rsid w:val="00605864"/>
    <w:rsid w:val="006069FC"/>
    <w:rsid w:val="00610A7C"/>
    <w:rsid w:val="00610F38"/>
    <w:rsid w:val="00611648"/>
    <w:rsid w:val="006141AE"/>
    <w:rsid w:val="00614EFA"/>
    <w:rsid w:val="00615174"/>
    <w:rsid w:val="00615FFF"/>
    <w:rsid w:val="0061669F"/>
    <w:rsid w:val="00616E96"/>
    <w:rsid w:val="006172B4"/>
    <w:rsid w:val="006174A0"/>
    <w:rsid w:val="00617657"/>
    <w:rsid w:val="00620527"/>
    <w:rsid w:val="00620BA0"/>
    <w:rsid w:val="006219D0"/>
    <w:rsid w:val="00622944"/>
    <w:rsid w:val="00622C87"/>
    <w:rsid w:val="006231D5"/>
    <w:rsid w:val="0062618E"/>
    <w:rsid w:val="006267BA"/>
    <w:rsid w:val="00630B3E"/>
    <w:rsid w:val="00630D8F"/>
    <w:rsid w:val="00631464"/>
    <w:rsid w:val="0063171A"/>
    <w:rsid w:val="00631953"/>
    <w:rsid w:val="0063263A"/>
    <w:rsid w:val="00632667"/>
    <w:rsid w:val="00632AEF"/>
    <w:rsid w:val="00633B26"/>
    <w:rsid w:val="006348E2"/>
    <w:rsid w:val="006354BB"/>
    <w:rsid w:val="006354EB"/>
    <w:rsid w:val="00636F92"/>
    <w:rsid w:val="00642A44"/>
    <w:rsid w:val="00642BCF"/>
    <w:rsid w:val="00644A35"/>
    <w:rsid w:val="006450E7"/>
    <w:rsid w:val="0064585E"/>
    <w:rsid w:val="00645B95"/>
    <w:rsid w:val="00645F6C"/>
    <w:rsid w:val="00646E28"/>
    <w:rsid w:val="00647329"/>
    <w:rsid w:val="006475F3"/>
    <w:rsid w:val="00650FEB"/>
    <w:rsid w:val="00652B67"/>
    <w:rsid w:val="0065569D"/>
    <w:rsid w:val="006560FE"/>
    <w:rsid w:val="006571D9"/>
    <w:rsid w:val="00660291"/>
    <w:rsid w:val="006602EE"/>
    <w:rsid w:val="00660F30"/>
    <w:rsid w:val="006619AB"/>
    <w:rsid w:val="0066304C"/>
    <w:rsid w:val="00663965"/>
    <w:rsid w:val="00663CF1"/>
    <w:rsid w:val="00663FED"/>
    <w:rsid w:val="006640AC"/>
    <w:rsid w:val="00664A68"/>
    <w:rsid w:val="006659DD"/>
    <w:rsid w:val="006706A0"/>
    <w:rsid w:val="00670733"/>
    <w:rsid w:val="00671382"/>
    <w:rsid w:val="006713C7"/>
    <w:rsid w:val="00672C4D"/>
    <w:rsid w:val="00673148"/>
    <w:rsid w:val="0067695D"/>
    <w:rsid w:val="00676A68"/>
    <w:rsid w:val="00677EF6"/>
    <w:rsid w:val="00680673"/>
    <w:rsid w:val="00681A93"/>
    <w:rsid w:val="0068246E"/>
    <w:rsid w:val="00683089"/>
    <w:rsid w:val="00683636"/>
    <w:rsid w:val="00685C13"/>
    <w:rsid w:val="00686C5E"/>
    <w:rsid w:val="00690A78"/>
    <w:rsid w:val="00690DDE"/>
    <w:rsid w:val="00691624"/>
    <w:rsid w:val="0069265E"/>
    <w:rsid w:val="006933CA"/>
    <w:rsid w:val="00694048"/>
    <w:rsid w:val="0069510D"/>
    <w:rsid w:val="006952D4"/>
    <w:rsid w:val="00697C6C"/>
    <w:rsid w:val="006A1421"/>
    <w:rsid w:val="006A1A49"/>
    <w:rsid w:val="006A31E6"/>
    <w:rsid w:val="006A471A"/>
    <w:rsid w:val="006A7240"/>
    <w:rsid w:val="006A7772"/>
    <w:rsid w:val="006A7B12"/>
    <w:rsid w:val="006B0F3E"/>
    <w:rsid w:val="006B162B"/>
    <w:rsid w:val="006B22D8"/>
    <w:rsid w:val="006B2611"/>
    <w:rsid w:val="006B2954"/>
    <w:rsid w:val="006B428E"/>
    <w:rsid w:val="006B4BA1"/>
    <w:rsid w:val="006B6E52"/>
    <w:rsid w:val="006B7A72"/>
    <w:rsid w:val="006C32B7"/>
    <w:rsid w:val="006C5D62"/>
    <w:rsid w:val="006C6314"/>
    <w:rsid w:val="006C68A1"/>
    <w:rsid w:val="006C6F9F"/>
    <w:rsid w:val="006D019B"/>
    <w:rsid w:val="006D2735"/>
    <w:rsid w:val="006D2E61"/>
    <w:rsid w:val="006D3669"/>
    <w:rsid w:val="006D3F0E"/>
    <w:rsid w:val="006D6274"/>
    <w:rsid w:val="006D6DF8"/>
    <w:rsid w:val="006D7B09"/>
    <w:rsid w:val="006D7FE2"/>
    <w:rsid w:val="006E1367"/>
    <w:rsid w:val="006E1A6A"/>
    <w:rsid w:val="006E2EE9"/>
    <w:rsid w:val="006E2EEC"/>
    <w:rsid w:val="006E3CF1"/>
    <w:rsid w:val="006E3F11"/>
    <w:rsid w:val="006E40BB"/>
    <w:rsid w:val="006E4BB3"/>
    <w:rsid w:val="006E4E75"/>
    <w:rsid w:val="006E5D57"/>
    <w:rsid w:val="006E6996"/>
    <w:rsid w:val="006F05BB"/>
    <w:rsid w:val="006F1E65"/>
    <w:rsid w:val="006F2509"/>
    <w:rsid w:val="006F29A3"/>
    <w:rsid w:val="006F3EF4"/>
    <w:rsid w:val="006F4B93"/>
    <w:rsid w:val="006F5191"/>
    <w:rsid w:val="006F564A"/>
    <w:rsid w:val="006F56AF"/>
    <w:rsid w:val="006F62DC"/>
    <w:rsid w:val="006F6628"/>
    <w:rsid w:val="006F6D45"/>
    <w:rsid w:val="006F6ED4"/>
    <w:rsid w:val="006F718C"/>
    <w:rsid w:val="006F7A56"/>
    <w:rsid w:val="006F7B64"/>
    <w:rsid w:val="00700E1F"/>
    <w:rsid w:val="00701A4B"/>
    <w:rsid w:val="0070411A"/>
    <w:rsid w:val="00704FF4"/>
    <w:rsid w:val="007062AC"/>
    <w:rsid w:val="007106D1"/>
    <w:rsid w:val="00714CD4"/>
    <w:rsid w:val="007152CA"/>
    <w:rsid w:val="007160BC"/>
    <w:rsid w:val="00716605"/>
    <w:rsid w:val="00716D09"/>
    <w:rsid w:val="00717345"/>
    <w:rsid w:val="007238BD"/>
    <w:rsid w:val="00724203"/>
    <w:rsid w:val="00724C18"/>
    <w:rsid w:val="00725691"/>
    <w:rsid w:val="007259B2"/>
    <w:rsid w:val="0072615C"/>
    <w:rsid w:val="00727C3E"/>
    <w:rsid w:val="00731E0C"/>
    <w:rsid w:val="00732FEF"/>
    <w:rsid w:val="00733120"/>
    <w:rsid w:val="0073405E"/>
    <w:rsid w:val="007359F7"/>
    <w:rsid w:val="00735AAA"/>
    <w:rsid w:val="0074064D"/>
    <w:rsid w:val="00743F33"/>
    <w:rsid w:val="00744500"/>
    <w:rsid w:val="00744627"/>
    <w:rsid w:val="00745625"/>
    <w:rsid w:val="00746B7E"/>
    <w:rsid w:val="007514C3"/>
    <w:rsid w:val="0075169F"/>
    <w:rsid w:val="007517A3"/>
    <w:rsid w:val="00751A6F"/>
    <w:rsid w:val="007548D9"/>
    <w:rsid w:val="00754B80"/>
    <w:rsid w:val="00755FA3"/>
    <w:rsid w:val="00756AB0"/>
    <w:rsid w:val="007576CB"/>
    <w:rsid w:val="00762578"/>
    <w:rsid w:val="007627F6"/>
    <w:rsid w:val="00762A5E"/>
    <w:rsid w:val="007640E6"/>
    <w:rsid w:val="00765378"/>
    <w:rsid w:val="00765E03"/>
    <w:rsid w:val="00766428"/>
    <w:rsid w:val="00770B7C"/>
    <w:rsid w:val="007713D7"/>
    <w:rsid w:val="00772851"/>
    <w:rsid w:val="00772F07"/>
    <w:rsid w:val="0077699F"/>
    <w:rsid w:val="00777F2C"/>
    <w:rsid w:val="00780F11"/>
    <w:rsid w:val="00781E5E"/>
    <w:rsid w:val="00782A47"/>
    <w:rsid w:val="00783754"/>
    <w:rsid w:val="00785671"/>
    <w:rsid w:val="00785F0E"/>
    <w:rsid w:val="007866B9"/>
    <w:rsid w:val="00786C91"/>
    <w:rsid w:val="00787DFE"/>
    <w:rsid w:val="00791333"/>
    <w:rsid w:val="00791336"/>
    <w:rsid w:val="007914B7"/>
    <w:rsid w:val="00791870"/>
    <w:rsid w:val="00791AEC"/>
    <w:rsid w:val="00792C2E"/>
    <w:rsid w:val="00793153"/>
    <w:rsid w:val="00793BC1"/>
    <w:rsid w:val="00793D1B"/>
    <w:rsid w:val="00794033"/>
    <w:rsid w:val="007956AD"/>
    <w:rsid w:val="00796D1C"/>
    <w:rsid w:val="007A34DB"/>
    <w:rsid w:val="007A3FBB"/>
    <w:rsid w:val="007A574D"/>
    <w:rsid w:val="007A580B"/>
    <w:rsid w:val="007A5836"/>
    <w:rsid w:val="007A6064"/>
    <w:rsid w:val="007A6496"/>
    <w:rsid w:val="007A7684"/>
    <w:rsid w:val="007B0988"/>
    <w:rsid w:val="007B0E95"/>
    <w:rsid w:val="007B186D"/>
    <w:rsid w:val="007B2076"/>
    <w:rsid w:val="007B2508"/>
    <w:rsid w:val="007B274F"/>
    <w:rsid w:val="007B29BB"/>
    <w:rsid w:val="007B2C65"/>
    <w:rsid w:val="007B3768"/>
    <w:rsid w:val="007B42A5"/>
    <w:rsid w:val="007B43EE"/>
    <w:rsid w:val="007B4418"/>
    <w:rsid w:val="007B579B"/>
    <w:rsid w:val="007B623D"/>
    <w:rsid w:val="007B67F5"/>
    <w:rsid w:val="007C0FB9"/>
    <w:rsid w:val="007C2C83"/>
    <w:rsid w:val="007C5776"/>
    <w:rsid w:val="007D0AB8"/>
    <w:rsid w:val="007D34C5"/>
    <w:rsid w:val="007D5405"/>
    <w:rsid w:val="007D617D"/>
    <w:rsid w:val="007D7AF5"/>
    <w:rsid w:val="007D7F9A"/>
    <w:rsid w:val="007E2056"/>
    <w:rsid w:val="007E2C7E"/>
    <w:rsid w:val="007E3069"/>
    <w:rsid w:val="007E3D2B"/>
    <w:rsid w:val="007E480A"/>
    <w:rsid w:val="007E48C6"/>
    <w:rsid w:val="007E5D77"/>
    <w:rsid w:val="007E634B"/>
    <w:rsid w:val="007E7A47"/>
    <w:rsid w:val="007F0E52"/>
    <w:rsid w:val="007F188E"/>
    <w:rsid w:val="007F2B19"/>
    <w:rsid w:val="007F3065"/>
    <w:rsid w:val="007F3E29"/>
    <w:rsid w:val="007F53A7"/>
    <w:rsid w:val="007F641B"/>
    <w:rsid w:val="008015BC"/>
    <w:rsid w:val="0080163A"/>
    <w:rsid w:val="00802641"/>
    <w:rsid w:val="00803A09"/>
    <w:rsid w:val="008055D4"/>
    <w:rsid w:val="00805E11"/>
    <w:rsid w:val="00806B77"/>
    <w:rsid w:val="00807422"/>
    <w:rsid w:val="00807C0E"/>
    <w:rsid w:val="00810B28"/>
    <w:rsid w:val="008120C7"/>
    <w:rsid w:val="00812D39"/>
    <w:rsid w:val="00814110"/>
    <w:rsid w:val="00814879"/>
    <w:rsid w:val="00814E5B"/>
    <w:rsid w:val="00815D25"/>
    <w:rsid w:val="00820956"/>
    <w:rsid w:val="00821CBD"/>
    <w:rsid w:val="00822D1B"/>
    <w:rsid w:val="00823137"/>
    <w:rsid w:val="00824E9A"/>
    <w:rsid w:val="008252AD"/>
    <w:rsid w:val="00825EAA"/>
    <w:rsid w:val="00825F12"/>
    <w:rsid w:val="00826CA7"/>
    <w:rsid w:val="008271B5"/>
    <w:rsid w:val="008300E8"/>
    <w:rsid w:val="008303F5"/>
    <w:rsid w:val="00830D16"/>
    <w:rsid w:val="00830E5B"/>
    <w:rsid w:val="00830ECA"/>
    <w:rsid w:val="008315DB"/>
    <w:rsid w:val="00831B7B"/>
    <w:rsid w:val="00831F31"/>
    <w:rsid w:val="00832FA8"/>
    <w:rsid w:val="008335B6"/>
    <w:rsid w:val="008346C1"/>
    <w:rsid w:val="00834E29"/>
    <w:rsid w:val="008353C3"/>
    <w:rsid w:val="00835EFC"/>
    <w:rsid w:val="00836C0C"/>
    <w:rsid w:val="00841FD3"/>
    <w:rsid w:val="00843D23"/>
    <w:rsid w:val="008469C4"/>
    <w:rsid w:val="00846C8A"/>
    <w:rsid w:val="00846F87"/>
    <w:rsid w:val="008514B0"/>
    <w:rsid w:val="0085155F"/>
    <w:rsid w:val="00851A5B"/>
    <w:rsid w:val="008525F8"/>
    <w:rsid w:val="00854398"/>
    <w:rsid w:val="00860A6C"/>
    <w:rsid w:val="00861047"/>
    <w:rsid w:val="00861269"/>
    <w:rsid w:val="00861C5A"/>
    <w:rsid w:val="008622D9"/>
    <w:rsid w:val="008633DF"/>
    <w:rsid w:val="0086355E"/>
    <w:rsid w:val="00864DE9"/>
    <w:rsid w:val="00864F81"/>
    <w:rsid w:val="00867486"/>
    <w:rsid w:val="008676A5"/>
    <w:rsid w:val="008705AE"/>
    <w:rsid w:val="0087116E"/>
    <w:rsid w:val="00871E3E"/>
    <w:rsid w:val="008726D3"/>
    <w:rsid w:val="00873917"/>
    <w:rsid w:val="00874AEE"/>
    <w:rsid w:val="00874DC1"/>
    <w:rsid w:val="00875183"/>
    <w:rsid w:val="008753B0"/>
    <w:rsid w:val="008754FB"/>
    <w:rsid w:val="0087600A"/>
    <w:rsid w:val="008764A5"/>
    <w:rsid w:val="008764AA"/>
    <w:rsid w:val="008808AB"/>
    <w:rsid w:val="00880BA1"/>
    <w:rsid w:val="008832C9"/>
    <w:rsid w:val="00884CA1"/>
    <w:rsid w:val="00885000"/>
    <w:rsid w:val="00885B52"/>
    <w:rsid w:val="00885D53"/>
    <w:rsid w:val="00886D27"/>
    <w:rsid w:val="00887997"/>
    <w:rsid w:val="008916B5"/>
    <w:rsid w:val="008931A3"/>
    <w:rsid w:val="0089418A"/>
    <w:rsid w:val="0089585D"/>
    <w:rsid w:val="00895910"/>
    <w:rsid w:val="008969D6"/>
    <w:rsid w:val="008971CB"/>
    <w:rsid w:val="008A13D5"/>
    <w:rsid w:val="008A1440"/>
    <w:rsid w:val="008A19F3"/>
    <w:rsid w:val="008A2652"/>
    <w:rsid w:val="008A2927"/>
    <w:rsid w:val="008A7B18"/>
    <w:rsid w:val="008B009C"/>
    <w:rsid w:val="008B02C6"/>
    <w:rsid w:val="008B0E46"/>
    <w:rsid w:val="008B0EDF"/>
    <w:rsid w:val="008B113F"/>
    <w:rsid w:val="008B20C6"/>
    <w:rsid w:val="008B3067"/>
    <w:rsid w:val="008B420B"/>
    <w:rsid w:val="008C2973"/>
    <w:rsid w:val="008C2D37"/>
    <w:rsid w:val="008C353E"/>
    <w:rsid w:val="008C3841"/>
    <w:rsid w:val="008C38F4"/>
    <w:rsid w:val="008C3E5E"/>
    <w:rsid w:val="008C51A6"/>
    <w:rsid w:val="008C5CFA"/>
    <w:rsid w:val="008C71CB"/>
    <w:rsid w:val="008C7318"/>
    <w:rsid w:val="008C7688"/>
    <w:rsid w:val="008C7BF6"/>
    <w:rsid w:val="008D07CC"/>
    <w:rsid w:val="008D1F30"/>
    <w:rsid w:val="008D2D6F"/>
    <w:rsid w:val="008D4937"/>
    <w:rsid w:val="008D4A3F"/>
    <w:rsid w:val="008D5860"/>
    <w:rsid w:val="008D5D55"/>
    <w:rsid w:val="008D714F"/>
    <w:rsid w:val="008E0389"/>
    <w:rsid w:val="008E1D77"/>
    <w:rsid w:val="008E2709"/>
    <w:rsid w:val="008E29DB"/>
    <w:rsid w:val="008E3236"/>
    <w:rsid w:val="008E41D6"/>
    <w:rsid w:val="008E79C5"/>
    <w:rsid w:val="008F0E41"/>
    <w:rsid w:val="008F1DC6"/>
    <w:rsid w:val="008F239D"/>
    <w:rsid w:val="008F3A3F"/>
    <w:rsid w:val="008F3C09"/>
    <w:rsid w:val="00900801"/>
    <w:rsid w:val="0090139B"/>
    <w:rsid w:val="00902202"/>
    <w:rsid w:val="009031DB"/>
    <w:rsid w:val="00903F74"/>
    <w:rsid w:val="009063F3"/>
    <w:rsid w:val="009064F0"/>
    <w:rsid w:val="00906967"/>
    <w:rsid w:val="00906B39"/>
    <w:rsid w:val="00907BC8"/>
    <w:rsid w:val="009107A3"/>
    <w:rsid w:val="00913E83"/>
    <w:rsid w:val="00913F25"/>
    <w:rsid w:val="00914076"/>
    <w:rsid w:val="009154FE"/>
    <w:rsid w:val="00915B14"/>
    <w:rsid w:val="0091663E"/>
    <w:rsid w:val="009168CE"/>
    <w:rsid w:val="009172ED"/>
    <w:rsid w:val="0092067E"/>
    <w:rsid w:val="00920ADB"/>
    <w:rsid w:val="00922BA2"/>
    <w:rsid w:val="00923695"/>
    <w:rsid w:val="0092609B"/>
    <w:rsid w:val="0092699C"/>
    <w:rsid w:val="0092726F"/>
    <w:rsid w:val="0093289A"/>
    <w:rsid w:val="00934FF6"/>
    <w:rsid w:val="00935054"/>
    <w:rsid w:val="0093560C"/>
    <w:rsid w:val="009357F3"/>
    <w:rsid w:val="009360CF"/>
    <w:rsid w:val="00936E96"/>
    <w:rsid w:val="00941274"/>
    <w:rsid w:val="00941D7E"/>
    <w:rsid w:val="00942549"/>
    <w:rsid w:val="00942A39"/>
    <w:rsid w:val="00943C3A"/>
    <w:rsid w:val="009458CD"/>
    <w:rsid w:val="00946BEE"/>
    <w:rsid w:val="0094726C"/>
    <w:rsid w:val="009478DB"/>
    <w:rsid w:val="00947D3F"/>
    <w:rsid w:val="00952486"/>
    <w:rsid w:val="0095285F"/>
    <w:rsid w:val="009532E7"/>
    <w:rsid w:val="00955E3B"/>
    <w:rsid w:val="00957CC9"/>
    <w:rsid w:val="0096023C"/>
    <w:rsid w:val="009604DA"/>
    <w:rsid w:val="009610F2"/>
    <w:rsid w:val="00961394"/>
    <w:rsid w:val="009618ED"/>
    <w:rsid w:val="009624D2"/>
    <w:rsid w:val="0096412B"/>
    <w:rsid w:val="00964740"/>
    <w:rsid w:val="00964C58"/>
    <w:rsid w:val="00964F8C"/>
    <w:rsid w:val="009667B0"/>
    <w:rsid w:val="009716C1"/>
    <w:rsid w:val="009718F6"/>
    <w:rsid w:val="00972AD4"/>
    <w:rsid w:val="00973AA1"/>
    <w:rsid w:val="00974C59"/>
    <w:rsid w:val="00974C93"/>
    <w:rsid w:val="009754E3"/>
    <w:rsid w:val="00976BA9"/>
    <w:rsid w:val="00977EED"/>
    <w:rsid w:val="009808B4"/>
    <w:rsid w:val="00980DF9"/>
    <w:rsid w:val="0098228B"/>
    <w:rsid w:val="00986773"/>
    <w:rsid w:val="009912EE"/>
    <w:rsid w:val="00994D28"/>
    <w:rsid w:val="0099690F"/>
    <w:rsid w:val="00996A35"/>
    <w:rsid w:val="009A01D3"/>
    <w:rsid w:val="009A17B3"/>
    <w:rsid w:val="009A1900"/>
    <w:rsid w:val="009A1A0E"/>
    <w:rsid w:val="009A298C"/>
    <w:rsid w:val="009A481F"/>
    <w:rsid w:val="009A4E7A"/>
    <w:rsid w:val="009A546B"/>
    <w:rsid w:val="009A7651"/>
    <w:rsid w:val="009B0066"/>
    <w:rsid w:val="009B0D6F"/>
    <w:rsid w:val="009B0DA2"/>
    <w:rsid w:val="009B214B"/>
    <w:rsid w:val="009B2FE7"/>
    <w:rsid w:val="009B4537"/>
    <w:rsid w:val="009B72FE"/>
    <w:rsid w:val="009B7660"/>
    <w:rsid w:val="009C0652"/>
    <w:rsid w:val="009C2011"/>
    <w:rsid w:val="009C2A8B"/>
    <w:rsid w:val="009C4059"/>
    <w:rsid w:val="009C63BD"/>
    <w:rsid w:val="009D1E11"/>
    <w:rsid w:val="009D3DF7"/>
    <w:rsid w:val="009D4201"/>
    <w:rsid w:val="009D450D"/>
    <w:rsid w:val="009D6561"/>
    <w:rsid w:val="009D6F2E"/>
    <w:rsid w:val="009D7C2D"/>
    <w:rsid w:val="009E1149"/>
    <w:rsid w:val="009E12CE"/>
    <w:rsid w:val="009E4E63"/>
    <w:rsid w:val="009F08F9"/>
    <w:rsid w:val="009F14CC"/>
    <w:rsid w:val="009F1F0C"/>
    <w:rsid w:val="009F4AFF"/>
    <w:rsid w:val="009F4F01"/>
    <w:rsid w:val="009F7D1E"/>
    <w:rsid w:val="009F7EF5"/>
    <w:rsid w:val="00A0009E"/>
    <w:rsid w:val="00A0037F"/>
    <w:rsid w:val="00A0075F"/>
    <w:rsid w:val="00A00B6A"/>
    <w:rsid w:val="00A01B34"/>
    <w:rsid w:val="00A05077"/>
    <w:rsid w:val="00A069CD"/>
    <w:rsid w:val="00A06C4E"/>
    <w:rsid w:val="00A06F5C"/>
    <w:rsid w:val="00A07E23"/>
    <w:rsid w:val="00A07E5C"/>
    <w:rsid w:val="00A10D98"/>
    <w:rsid w:val="00A119E7"/>
    <w:rsid w:val="00A126B8"/>
    <w:rsid w:val="00A13780"/>
    <w:rsid w:val="00A1431F"/>
    <w:rsid w:val="00A14650"/>
    <w:rsid w:val="00A16723"/>
    <w:rsid w:val="00A16A25"/>
    <w:rsid w:val="00A1756A"/>
    <w:rsid w:val="00A219AA"/>
    <w:rsid w:val="00A232C3"/>
    <w:rsid w:val="00A23DF9"/>
    <w:rsid w:val="00A241A3"/>
    <w:rsid w:val="00A24BA4"/>
    <w:rsid w:val="00A24C90"/>
    <w:rsid w:val="00A252D3"/>
    <w:rsid w:val="00A261D4"/>
    <w:rsid w:val="00A27C2A"/>
    <w:rsid w:val="00A31C87"/>
    <w:rsid w:val="00A32D4C"/>
    <w:rsid w:val="00A340D0"/>
    <w:rsid w:val="00A36057"/>
    <w:rsid w:val="00A41B6E"/>
    <w:rsid w:val="00A436D9"/>
    <w:rsid w:val="00A44F0C"/>
    <w:rsid w:val="00A450C4"/>
    <w:rsid w:val="00A45250"/>
    <w:rsid w:val="00A45B35"/>
    <w:rsid w:val="00A4604B"/>
    <w:rsid w:val="00A47A13"/>
    <w:rsid w:val="00A50363"/>
    <w:rsid w:val="00A52714"/>
    <w:rsid w:val="00A54593"/>
    <w:rsid w:val="00A55206"/>
    <w:rsid w:val="00A5577A"/>
    <w:rsid w:val="00A55AAF"/>
    <w:rsid w:val="00A579DF"/>
    <w:rsid w:val="00A616FD"/>
    <w:rsid w:val="00A61A43"/>
    <w:rsid w:val="00A659EA"/>
    <w:rsid w:val="00A65EE2"/>
    <w:rsid w:val="00A70DCE"/>
    <w:rsid w:val="00A71ACC"/>
    <w:rsid w:val="00A71D77"/>
    <w:rsid w:val="00A72465"/>
    <w:rsid w:val="00A736CD"/>
    <w:rsid w:val="00A73C4A"/>
    <w:rsid w:val="00A73E0A"/>
    <w:rsid w:val="00A81FCC"/>
    <w:rsid w:val="00A82602"/>
    <w:rsid w:val="00A83D37"/>
    <w:rsid w:val="00A84407"/>
    <w:rsid w:val="00A8692F"/>
    <w:rsid w:val="00A86FCC"/>
    <w:rsid w:val="00A874F8"/>
    <w:rsid w:val="00A91FE8"/>
    <w:rsid w:val="00A93457"/>
    <w:rsid w:val="00A93AAF"/>
    <w:rsid w:val="00A94A8C"/>
    <w:rsid w:val="00A95871"/>
    <w:rsid w:val="00A97090"/>
    <w:rsid w:val="00A97B79"/>
    <w:rsid w:val="00A97D24"/>
    <w:rsid w:val="00AA196C"/>
    <w:rsid w:val="00AA4245"/>
    <w:rsid w:val="00AA43D0"/>
    <w:rsid w:val="00AA4CEB"/>
    <w:rsid w:val="00AA625E"/>
    <w:rsid w:val="00AB0F39"/>
    <w:rsid w:val="00AB1281"/>
    <w:rsid w:val="00AB1356"/>
    <w:rsid w:val="00AB20D8"/>
    <w:rsid w:val="00AB3C16"/>
    <w:rsid w:val="00AB4213"/>
    <w:rsid w:val="00AB5A0E"/>
    <w:rsid w:val="00AB6BD0"/>
    <w:rsid w:val="00AB75CB"/>
    <w:rsid w:val="00AC07F7"/>
    <w:rsid w:val="00AC0D00"/>
    <w:rsid w:val="00AC0FFB"/>
    <w:rsid w:val="00AC1F16"/>
    <w:rsid w:val="00AC4E68"/>
    <w:rsid w:val="00AC6DF2"/>
    <w:rsid w:val="00AD2586"/>
    <w:rsid w:val="00AD3752"/>
    <w:rsid w:val="00AD5642"/>
    <w:rsid w:val="00AD582E"/>
    <w:rsid w:val="00AD61BB"/>
    <w:rsid w:val="00AD6C16"/>
    <w:rsid w:val="00AD7F31"/>
    <w:rsid w:val="00AE07CF"/>
    <w:rsid w:val="00AE0FD0"/>
    <w:rsid w:val="00AE171A"/>
    <w:rsid w:val="00AE4A23"/>
    <w:rsid w:val="00AE4B43"/>
    <w:rsid w:val="00AE4E22"/>
    <w:rsid w:val="00AE7CCE"/>
    <w:rsid w:val="00AF171C"/>
    <w:rsid w:val="00AF39DB"/>
    <w:rsid w:val="00AF4B25"/>
    <w:rsid w:val="00AF50FB"/>
    <w:rsid w:val="00AF6286"/>
    <w:rsid w:val="00AF71E0"/>
    <w:rsid w:val="00AF769A"/>
    <w:rsid w:val="00B00529"/>
    <w:rsid w:val="00B0114F"/>
    <w:rsid w:val="00B06896"/>
    <w:rsid w:val="00B07865"/>
    <w:rsid w:val="00B079C7"/>
    <w:rsid w:val="00B10A0D"/>
    <w:rsid w:val="00B114F2"/>
    <w:rsid w:val="00B117E0"/>
    <w:rsid w:val="00B141A4"/>
    <w:rsid w:val="00B14CA8"/>
    <w:rsid w:val="00B1504A"/>
    <w:rsid w:val="00B15942"/>
    <w:rsid w:val="00B213EB"/>
    <w:rsid w:val="00B21EBB"/>
    <w:rsid w:val="00B2260E"/>
    <w:rsid w:val="00B22BF4"/>
    <w:rsid w:val="00B23B95"/>
    <w:rsid w:val="00B259F2"/>
    <w:rsid w:val="00B2672F"/>
    <w:rsid w:val="00B26E1F"/>
    <w:rsid w:val="00B26FB4"/>
    <w:rsid w:val="00B304BF"/>
    <w:rsid w:val="00B30E5C"/>
    <w:rsid w:val="00B30E98"/>
    <w:rsid w:val="00B31832"/>
    <w:rsid w:val="00B3189C"/>
    <w:rsid w:val="00B31989"/>
    <w:rsid w:val="00B32E68"/>
    <w:rsid w:val="00B36B53"/>
    <w:rsid w:val="00B37A90"/>
    <w:rsid w:val="00B37CA4"/>
    <w:rsid w:val="00B37E49"/>
    <w:rsid w:val="00B4108C"/>
    <w:rsid w:val="00B45C3B"/>
    <w:rsid w:val="00B45EF2"/>
    <w:rsid w:val="00B45F0C"/>
    <w:rsid w:val="00B47844"/>
    <w:rsid w:val="00B47992"/>
    <w:rsid w:val="00B5034A"/>
    <w:rsid w:val="00B5083D"/>
    <w:rsid w:val="00B518E6"/>
    <w:rsid w:val="00B52B93"/>
    <w:rsid w:val="00B5304F"/>
    <w:rsid w:val="00B53B44"/>
    <w:rsid w:val="00B55ACC"/>
    <w:rsid w:val="00B565E9"/>
    <w:rsid w:val="00B57211"/>
    <w:rsid w:val="00B60290"/>
    <w:rsid w:val="00B60770"/>
    <w:rsid w:val="00B620AD"/>
    <w:rsid w:val="00B628F7"/>
    <w:rsid w:val="00B62E0C"/>
    <w:rsid w:val="00B64678"/>
    <w:rsid w:val="00B66757"/>
    <w:rsid w:val="00B667B5"/>
    <w:rsid w:val="00B70A87"/>
    <w:rsid w:val="00B71EDB"/>
    <w:rsid w:val="00B73488"/>
    <w:rsid w:val="00B73520"/>
    <w:rsid w:val="00B75524"/>
    <w:rsid w:val="00B77811"/>
    <w:rsid w:val="00B80ECF"/>
    <w:rsid w:val="00B81687"/>
    <w:rsid w:val="00B83CEE"/>
    <w:rsid w:val="00B83EA9"/>
    <w:rsid w:val="00B84116"/>
    <w:rsid w:val="00B842AA"/>
    <w:rsid w:val="00B846E0"/>
    <w:rsid w:val="00B873CA"/>
    <w:rsid w:val="00B8745B"/>
    <w:rsid w:val="00B90B95"/>
    <w:rsid w:val="00B91802"/>
    <w:rsid w:val="00B941E6"/>
    <w:rsid w:val="00B96966"/>
    <w:rsid w:val="00B979F9"/>
    <w:rsid w:val="00BA0E11"/>
    <w:rsid w:val="00BA1995"/>
    <w:rsid w:val="00BA27FC"/>
    <w:rsid w:val="00BA3279"/>
    <w:rsid w:val="00BA3B03"/>
    <w:rsid w:val="00BA57D7"/>
    <w:rsid w:val="00BA588F"/>
    <w:rsid w:val="00BA5A0C"/>
    <w:rsid w:val="00BA659A"/>
    <w:rsid w:val="00BA68AF"/>
    <w:rsid w:val="00BA6946"/>
    <w:rsid w:val="00BA6B5C"/>
    <w:rsid w:val="00BB1282"/>
    <w:rsid w:val="00BB19E2"/>
    <w:rsid w:val="00BB223A"/>
    <w:rsid w:val="00BB2329"/>
    <w:rsid w:val="00BB29D8"/>
    <w:rsid w:val="00BB35E6"/>
    <w:rsid w:val="00BB6942"/>
    <w:rsid w:val="00BB6944"/>
    <w:rsid w:val="00BB7E7C"/>
    <w:rsid w:val="00BC0A9D"/>
    <w:rsid w:val="00BC1E4A"/>
    <w:rsid w:val="00BC243C"/>
    <w:rsid w:val="00BC2B20"/>
    <w:rsid w:val="00BC2D57"/>
    <w:rsid w:val="00BC3CD2"/>
    <w:rsid w:val="00BC4D45"/>
    <w:rsid w:val="00BC7E67"/>
    <w:rsid w:val="00BD0FB8"/>
    <w:rsid w:val="00BD1C81"/>
    <w:rsid w:val="00BD1DB6"/>
    <w:rsid w:val="00BD2494"/>
    <w:rsid w:val="00BD279B"/>
    <w:rsid w:val="00BD3334"/>
    <w:rsid w:val="00BD710A"/>
    <w:rsid w:val="00BE0D0E"/>
    <w:rsid w:val="00BE1070"/>
    <w:rsid w:val="00BE1B2F"/>
    <w:rsid w:val="00BE3F7E"/>
    <w:rsid w:val="00BE7869"/>
    <w:rsid w:val="00BF0484"/>
    <w:rsid w:val="00BF1313"/>
    <w:rsid w:val="00BF144A"/>
    <w:rsid w:val="00BF32FF"/>
    <w:rsid w:val="00BF3757"/>
    <w:rsid w:val="00BF499B"/>
    <w:rsid w:val="00BF5083"/>
    <w:rsid w:val="00BF5DF1"/>
    <w:rsid w:val="00BF68A7"/>
    <w:rsid w:val="00BF74CC"/>
    <w:rsid w:val="00C029BD"/>
    <w:rsid w:val="00C0316F"/>
    <w:rsid w:val="00C047A6"/>
    <w:rsid w:val="00C04AE0"/>
    <w:rsid w:val="00C05FA1"/>
    <w:rsid w:val="00C10352"/>
    <w:rsid w:val="00C10B58"/>
    <w:rsid w:val="00C10DD8"/>
    <w:rsid w:val="00C1114F"/>
    <w:rsid w:val="00C11F47"/>
    <w:rsid w:val="00C12A0D"/>
    <w:rsid w:val="00C14B35"/>
    <w:rsid w:val="00C20CF4"/>
    <w:rsid w:val="00C2102D"/>
    <w:rsid w:val="00C22B69"/>
    <w:rsid w:val="00C2312D"/>
    <w:rsid w:val="00C23387"/>
    <w:rsid w:val="00C23B27"/>
    <w:rsid w:val="00C24C74"/>
    <w:rsid w:val="00C2529F"/>
    <w:rsid w:val="00C30D70"/>
    <w:rsid w:val="00C32014"/>
    <w:rsid w:val="00C32917"/>
    <w:rsid w:val="00C32E15"/>
    <w:rsid w:val="00C332D8"/>
    <w:rsid w:val="00C333EF"/>
    <w:rsid w:val="00C33497"/>
    <w:rsid w:val="00C35652"/>
    <w:rsid w:val="00C36217"/>
    <w:rsid w:val="00C36FF5"/>
    <w:rsid w:val="00C40420"/>
    <w:rsid w:val="00C40FB0"/>
    <w:rsid w:val="00C41D31"/>
    <w:rsid w:val="00C42374"/>
    <w:rsid w:val="00C43105"/>
    <w:rsid w:val="00C435B0"/>
    <w:rsid w:val="00C44FEF"/>
    <w:rsid w:val="00C45EA7"/>
    <w:rsid w:val="00C47F09"/>
    <w:rsid w:val="00C518E9"/>
    <w:rsid w:val="00C520D4"/>
    <w:rsid w:val="00C52959"/>
    <w:rsid w:val="00C52A12"/>
    <w:rsid w:val="00C52CD2"/>
    <w:rsid w:val="00C53BBE"/>
    <w:rsid w:val="00C5412B"/>
    <w:rsid w:val="00C5479D"/>
    <w:rsid w:val="00C54F4F"/>
    <w:rsid w:val="00C555C1"/>
    <w:rsid w:val="00C56C5E"/>
    <w:rsid w:val="00C57037"/>
    <w:rsid w:val="00C57604"/>
    <w:rsid w:val="00C62B3B"/>
    <w:rsid w:val="00C65278"/>
    <w:rsid w:val="00C6619E"/>
    <w:rsid w:val="00C663A9"/>
    <w:rsid w:val="00C66DCA"/>
    <w:rsid w:val="00C67F25"/>
    <w:rsid w:val="00C70A20"/>
    <w:rsid w:val="00C71349"/>
    <w:rsid w:val="00C71F37"/>
    <w:rsid w:val="00C7453E"/>
    <w:rsid w:val="00C7462E"/>
    <w:rsid w:val="00C74F23"/>
    <w:rsid w:val="00C75378"/>
    <w:rsid w:val="00C77F4B"/>
    <w:rsid w:val="00C8094C"/>
    <w:rsid w:val="00C821D9"/>
    <w:rsid w:val="00C822AE"/>
    <w:rsid w:val="00C82A94"/>
    <w:rsid w:val="00C83329"/>
    <w:rsid w:val="00C84B1C"/>
    <w:rsid w:val="00C854D9"/>
    <w:rsid w:val="00C855DC"/>
    <w:rsid w:val="00C86C39"/>
    <w:rsid w:val="00C86D48"/>
    <w:rsid w:val="00C87585"/>
    <w:rsid w:val="00C87F72"/>
    <w:rsid w:val="00C91A6E"/>
    <w:rsid w:val="00C92E30"/>
    <w:rsid w:val="00C9420B"/>
    <w:rsid w:val="00C94224"/>
    <w:rsid w:val="00C954DA"/>
    <w:rsid w:val="00C971CA"/>
    <w:rsid w:val="00C9787E"/>
    <w:rsid w:val="00C97F32"/>
    <w:rsid w:val="00CA00E9"/>
    <w:rsid w:val="00CA298D"/>
    <w:rsid w:val="00CA2C18"/>
    <w:rsid w:val="00CA3BB8"/>
    <w:rsid w:val="00CA3C02"/>
    <w:rsid w:val="00CA6D4F"/>
    <w:rsid w:val="00CB0583"/>
    <w:rsid w:val="00CB0F26"/>
    <w:rsid w:val="00CB1DDB"/>
    <w:rsid w:val="00CB2308"/>
    <w:rsid w:val="00CB26CE"/>
    <w:rsid w:val="00CB3027"/>
    <w:rsid w:val="00CB446B"/>
    <w:rsid w:val="00CB7F9E"/>
    <w:rsid w:val="00CC1807"/>
    <w:rsid w:val="00CC1F12"/>
    <w:rsid w:val="00CC2398"/>
    <w:rsid w:val="00CC46E4"/>
    <w:rsid w:val="00CC4CE8"/>
    <w:rsid w:val="00CC520C"/>
    <w:rsid w:val="00CC6029"/>
    <w:rsid w:val="00CC712C"/>
    <w:rsid w:val="00CD0094"/>
    <w:rsid w:val="00CD10E6"/>
    <w:rsid w:val="00CD2B56"/>
    <w:rsid w:val="00CD2EC6"/>
    <w:rsid w:val="00CD5F35"/>
    <w:rsid w:val="00CD6C86"/>
    <w:rsid w:val="00CD6D9E"/>
    <w:rsid w:val="00CD6EEE"/>
    <w:rsid w:val="00CD73B5"/>
    <w:rsid w:val="00CE2307"/>
    <w:rsid w:val="00CE40BD"/>
    <w:rsid w:val="00CE6E0C"/>
    <w:rsid w:val="00CE7DD6"/>
    <w:rsid w:val="00CE7EBF"/>
    <w:rsid w:val="00CF2BD7"/>
    <w:rsid w:val="00CF2D2A"/>
    <w:rsid w:val="00CF2D59"/>
    <w:rsid w:val="00CF3622"/>
    <w:rsid w:val="00CF3C15"/>
    <w:rsid w:val="00CF4AD1"/>
    <w:rsid w:val="00CF5010"/>
    <w:rsid w:val="00CF6DA1"/>
    <w:rsid w:val="00CF6DF8"/>
    <w:rsid w:val="00CF73C0"/>
    <w:rsid w:val="00CF7A14"/>
    <w:rsid w:val="00CF7CEB"/>
    <w:rsid w:val="00D0244E"/>
    <w:rsid w:val="00D031D7"/>
    <w:rsid w:val="00D03B78"/>
    <w:rsid w:val="00D04A22"/>
    <w:rsid w:val="00D051A2"/>
    <w:rsid w:val="00D11618"/>
    <w:rsid w:val="00D12E1E"/>
    <w:rsid w:val="00D13648"/>
    <w:rsid w:val="00D136A2"/>
    <w:rsid w:val="00D16C71"/>
    <w:rsid w:val="00D211F0"/>
    <w:rsid w:val="00D21810"/>
    <w:rsid w:val="00D21969"/>
    <w:rsid w:val="00D22241"/>
    <w:rsid w:val="00D23311"/>
    <w:rsid w:val="00D24CC9"/>
    <w:rsid w:val="00D256F7"/>
    <w:rsid w:val="00D26306"/>
    <w:rsid w:val="00D265E4"/>
    <w:rsid w:val="00D320CF"/>
    <w:rsid w:val="00D3674B"/>
    <w:rsid w:val="00D3703D"/>
    <w:rsid w:val="00D37B6D"/>
    <w:rsid w:val="00D41420"/>
    <w:rsid w:val="00D4197E"/>
    <w:rsid w:val="00D46126"/>
    <w:rsid w:val="00D507F5"/>
    <w:rsid w:val="00D51EDD"/>
    <w:rsid w:val="00D51EFB"/>
    <w:rsid w:val="00D556E2"/>
    <w:rsid w:val="00D60CB6"/>
    <w:rsid w:val="00D61331"/>
    <w:rsid w:val="00D64408"/>
    <w:rsid w:val="00D66F15"/>
    <w:rsid w:val="00D67496"/>
    <w:rsid w:val="00D67B74"/>
    <w:rsid w:val="00D700B7"/>
    <w:rsid w:val="00D70697"/>
    <w:rsid w:val="00D70DA5"/>
    <w:rsid w:val="00D71FC4"/>
    <w:rsid w:val="00D74524"/>
    <w:rsid w:val="00D757C1"/>
    <w:rsid w:val="00D75E11"/>
    <w:rsid w:val="00D768AD"/>
    <w:rsid w:val="00D76F25"/>
    <w:rsid w:val="00D76F9E"/>
    <w:rsid w:val="00D778C4"/>
    <w:rsid w:val="00D81B99"/>
    <w:rsid w:val="00D82101"/>
    <w:rsid w:val="00D8254D"/>
    <w:rsid w:val="00D84A6B"/>
    <w:rsid w:val="00D866C2"/>
    <w:rsid w:val="00D878F9"/>
    <w:rsid w:val="00D8796D"/>
    <w:rsid w:val="00D9537C"/>
    <w:rsid w:val="00D95A8D"/>
    <w:rsid w:val="00D970B2"/>
    <w:rsid w:val="00DA0823"/>
    <w:rsid w:val="00DA1A6D"/>
    <w:rsid w:val="00DA22D0"/>
    <w:rsid w:val="00DA26FC"/>
    <w:rsid w:val="00DA3A43"/>
    <w:rsid w:val="00DA5285"/>
    <w:rsid w:val="00DA562D"/>
    <w:rsid w:val="00DA7052"/>
    <w:rsid w:val="00DA7E6E"/>
    <w:rsid w:val="00DB03F8"/>
    <w:rsid w:val="00DB1FC1"/>
    <w:rsid w:val="00DB48A5"/>
    <w:rsid w:val="00DB67DA"/>
    <w:rsid w:val="00DC3B2E"/>
    <w:rsid w:val="00DC5197"/>
    <w:rsid w:val="00DC5DA6"/>
    <w:rsid w:val="00DC61A9"/>
    <w:rsid w:val="00DC6968"/>
    <w:rsid w:val="00DD0746"/>
    <w:rsid w:val="00DD0FB0"/>
    <w:rsid w:val="00DD1781"/>
    <w:rsid w:val="00DD1D37"/>
    <w:rsid w:val="00DD212F"/>
    <w:rsid w:val="00DD2EB1"/>
    <w:rsid w:val="00DD42C7"/>
    <w:rsid w:val="00DD4B97"/>
    <w:rsid w:val="00DD514B"/>
    <w:rsid w:val="00DD59CD"/>
    <w:rsid w:val="00DD6547"/>
    <w:rsid w:val="00DD6638"/>
    <w:rsid w:val="00DD6653"/>
    <w:rsid w:val="00DD6BE4"/>
    <w:rsid w:val="00DD6C0B"/>
    <w:rsid w:val="00DE0DC9"/>
    <w:rsid w:val="00DE0E24"/>
    <w:rsid w:val="00DE19E8"/>
    <w:rsid w:val="00DE1DC0"/>
    <w:rsid w:val="00DE201A"/>
    <w:rsid w:val="00DE263A"/>
    <w:rsid w:val="00DE3467"/>
    <w:rsid w:val="00DE348A"/>
    <w:rsid w:val="00DE3726"/>
    <w:rsid w:val="00DE3F47"/>
    <w:rsid w:val="00DE52EF"/>
    <w:rsid w:val="00DE63B6"/>
    <w:rsid w:val="00DF26A5"/>
    <w:rsid w:val="00DF663B"/>
    <w:rsid w:val="00DF78F9"/>
    <w:rsid w:val="00E003C4"/>
    <w:rsid w:val="00E01834"/>
    <w:rsid w:val="00E0229C"/>
    <w:rsid w:val="00E0236F"/>
    <w:rsid w:val="00E02982"/>
    <w:rsid w:val="00E05533"/>
    <w:rsid w:val="00E060CE"/>
    <w:rsid w:val="00E073EF"/>
    <w:rsid w:val="00E074B2"/>
    <w:rsid w:val="00E078AA"/>
    <w:rsid w:val="00E10965"/>
    <w:rsid w:val="00E10ECD"/>
    <w:rsid w:val="00E10FE0"/>
    <w:rsid w:val="00E119C6"/>
    <w:rsid w:val="00E11C49"/>
    <w:rsid w:val="00E14CFA"/>
    <w:rsid w:val="00E1576A"/>
    <w:rsid w:val="00E15F1D"/>
    <w:rsid w:val="00E17DDC"/>
    <w:rsid w:val="00E20B37"/>
    <w:rsid w:val="00E21174"/>
    <w:rsid w:val="00E2233E"/>
    <w:rsid w:val="00E231E1"/>
    <w:rsid w:val="00E24D51"/>
    <w:rsid w:val="00E30EC3"/>
    <w:rsid w:val="00E3220E"/>
    <w:rsid w:val="00E32AC6"/>
    <w:rsid w:val="00E37C45"/>
    <w:rsid w:val="00E37C91"/>
    <w:rsid w:val="00E41D32"/>
    <w:rsid w:val="00E4213D"/>
    <w:rsid w:val="00E43347"/>
    <w:rsid w:val="00E43930"/>
    <w:rsid w:val="00E43C09"/>
    <w:rsid w:val="00E43DE9"/>
    <w:rsid w:val="00E46203"/>
    <w:rsid w:val="00E4637C"/>
    <w:rsid w:val="00E467A6"/>
    <w:rsid w:val="00E47DD0"/>
    <w:rsid w:val="00E501DC"/>
    <w:rsid w:val="00E507F5"/>
    <w:rsid w:val="00E510E2"/>
    <w:rsid w:val="00E51A4F"/>
    <w:rsid w:val="00E52ACD"/>
    <w:rsid w:val="00E53614"/>
    <w:rsid w:val="00E5396F"/>
    <w:rsid w:val="00E54918"/>
    <w:rsid w:val="00E555F7"/>
    <w:rsid w:val="00E56D38"/>
    <w:rsid w:val="00E57302"/>
    <w:rsid w:val="00E60428"/>
    <w:rsid w:val="00E6073C"/>
    <w:rsid w:val="00E60F11"/>
    <w:rsid w:val="00E617B3"/>
    <w:rsid w:val="00E62178"/>
    <w:rsid w:val="00E627F0"/>
    <w:rsid w:val="00E628CD"/>
    <w:rsid w:val="00E64288"/>
    <w:rsid w:val="00E65ACB"/>
    <w:rsid w:val="00E665D4"/>
    <w:rsid w:val="00E70A7A"/>
    <w:rsid w:val="00E71466"/>
    <w:rsid w:val="00E71C7A"/>
    <w:rsid w:val="00E74281"/>
    <w:rsid w:val="00E74AE5"/>
    <w:rsid w:val="00E75EDF"/>
    <w:rsid w:val="00E764A1"/>
    <w:rsid w:val="00E800BA"/>
    <w:rsid w:val="00E80F03"/>
    <w:rsid w:val="00E81304"/>
    <w:rsid w:val="00E81DBE"/>
    <w:rsid w:val="00E864CC"/>
    <w:rsid w:val="00E86794"/>
    <w:rsid w:val="00E92156"/>
    <w:rsid w:val="00E92C2D"/>
    <w:rsid w:val="00E94BF8"/>
    <w:rsid w:val="00E95A51"/>
    <w:rsid w:val="00E97D45"/>
    <w:rsid w:val="00EA1B01"/>
    <w:rsid w:val="00EA2E02"/>
    <w:rsid w:val="00EA503E"/>
    <w:rsid w:val="00EA5609"/>
    <w:rsid w:val="00EA71A3"/>
    <w:rsid w:val="00EB2943"/>
    <w:rsid w:val="00EB5D0F"/>
    <w:rsid w:val="00EB5EF7"/>
    <w:rsid w:val="00EC0E12"/>
    <w:rsid w:val="00EC0EC2"/>
    <w:rsid w:val="00EC1B86"/>
    <w:rsid w:val="00EC5669"/>
    <w:rsid w:val="00EC5757"/>
    <w:rsid w:val="00ED0604"/>
    <w:rsid w:val="00ED0D17"/>
    <w:rsid w:val="00ED1C4F"/>
    <w:rsid w:val="00ED32CE"/>
    <w:rsid w:val="00ED5255"/>
    <w:rsid w:val="00ED5557"/>
    <w:rsid w:val="00ED7203"/>
    <w:rsid w:val="00ED7A24"/>
    <w:rsid w:val="00EE057B"/>
    <w:rsid w:val="00EE3C4E"/>
    <w:rsid w:val="00EE4464"/>
    <w:rsid w:val="00EE5EC0"/>
    <w:rsid w:val="00EE69A1"/>
    <w:rsid w:val="00EE69A3"/>
    <w:rsid w:val="00EF00DF"/>
    <w:rsid w:val="00EF1656"/>
    <w:rsid w:val="00EF255B"/>
    <w:rsid w:val="00EF30AF"/>
    <w:rsid w:val="00EF312A"/>
    <w:rsid w:val="00EF3C5E"/>
    <w:rsid w:val="00EF4816"/>
    <w:rsid w:val="00EF5621"/>
    <w:rsid w:val="00F044B9"/>
    <w:rsid w:val="00F052C8"/>
    <w:rsid w:val="00F06CA8"/>
    <w:rsid w:val="00F073A8"/>
    <w:rsid w:val="00F1017B"/>
    <w:rsid w:val="00F12280"/>
    <w:rsid w:val="00F12428"/>
    <w:rsid w:val="00F16574"/>
    <w:rsid w:val="00F16FEF"/>
    <w:rsid w:val="00F17486"/>
    <w:rsid w:val="00F178B0"/>
    <w:rsid w:val="00F1799B"/>
    <w:rsid w:val="00F17A61"/>
    <w:rsid w:val="00F17ABC"/>
    <w:rsid w:val="00F17AE6"/>
    <w:rsid w:val="00F210CD"/>
    <w:rsid w:val="00F23C8D"/>
    <w:rsid w:val="00F245EE"/>
    <w:rsid w:val="00F2511C"/>
    <w:rsid w:val="00F257E2"/>
    <w:rsid w:val="00F30533"/>
    <w:rsid w:val="00F30908"/>
    <w:rsid w:val="00F32029"/>
    <w:rsid w:val="00F32942"/>
    <w:rsid w:val="00F32C61"/>
    <w:rsid w:val="00F3483F"/>
    <w:rsid w:val="00F41931"/>
    <w:rsid w:val="00F41F32"/>
    <w:rsid w:val="00F42B8C"/>
    <w:rsid w:val="00F43C35"/>
    <w:rsid w:val="00F447EF"/>
    <w:rsid w:val="00F44F0B"/>
    <w:rsid w:val="00F468F7"/>
    <w:rsid w:val="00F46967"/>
    <w:rsid w:val="00F46ABA"/>
    <w:rsid w:val="00F505CE"/>
    <w:rsid w:val="00F513A8"/>
    <w:rsid w:val="00F53FA7"/>
    <w:rsid w:val="00F542F5"/>
    <w:rsid w:val="00F54418"/>
    <w:rsid w:val="00F56421"/>
    <w:rsid w:val="00F568AB"/>
    <w:rsid w:val="00F56E8F"/>
    <w:rsid w:val="00F61117"/>
    <w:rsid w:val="00F6112A"/>
    <w:rsid w:val="00F6421B"/>
    <w:rsid w:val="00F66811"/>
    <w:rsid w:val="00F66CCB"/>
    <w:rsid w:val="00F6743C"/>
    <w:rsid w:val="00F7133A"/>
    <w:rsid w:val="00F73E80"/>
    <w:rsid w:val="00F811AC"/>
    <w:rsid w:val="00F851DE"/>
    <w:rsid w:val="00F852F4"/>
    <w:rsid w:val="00F855E3"/>
    <w:rsid w:val="00F8779F"/>
    <w:rsid w:val="00F9080A"/>
    <w:rsid w:val="00F91CC9"/>
    <w:rsid w:val="00F91EE5"/>
    <w:rsid w:val="00F91FA8"/>
    <w:rsid w:val="00F93243"/>
    <w:rsid w:val="00F93AE6"/>
    <w:rsid w:val="00F945E8"/>
    <w:rsid w:val="00F94DE1"/>
    <w:rsid w:val="00F9510A"/>
    <w:rsid w:val="00F95C95"/>
    <w:rsid w:val="00F95F85"/>
    <w:rsid w:val="00FA0FE1"/>
    <w:rsid w:val="00FA17DE"/>
    <w:rsid w:val="00FA3958"/>
    <w:rsid w:val="00FA3F82"/>
    <w:rsid w:val="00FA5C66"/>
    <w:rsid w:val="00FA6A65"/>
    <w:rsid w:val="00FA7929"/>
    <w:rsid w:val="00FB02BA"/>
    <w:rsid w:val="00FB1209"/>
    <w:rsid w:val="00FB2F02"/>
    <w:rsid w:val="00FB3352"/>
    <w:rsid w:val="00FB409B"/>
    <w:rsid w:val="00FB673A"/>
    <w:rsid w:val="00FB6F05"/>
    <w:rsid w:val="00FC0433"/>
    <w:rsid w:val="00FC1F57"/>
    <w:rsid w:val="00FC2342"/>
    <w:rsid w:val="00FC325E"/>
    <w:rsid w:val="00FC39CE"/>
    <w:rsid w:val="00FC3F83"/>
    <w:rsid w:val="00FC447A"/>
    <w:rsid w:val="00FC48FF"/>
    <w:rsid w:val="00FC50E4"/>
    <w:rsid w:val="00FC6F9F"/>
    <w:rsid w:val="00FC78D1"/>
    <w:rsid w:val="00FC7E02"/>
    <w:rsid w:val="00FD0B76"/>
    <w:rsid w:val="00FD3FB7"/>
    <w:rsid w:val="00FD74C4"/>
    <w:rsid w:val="00FE0E29"/>
    <w:rsid w:val="00FE36CC"/>
    <w:rsid w:val="00FE4A25"/>
    <w:rsid w:val="00FE5078"/>
    <w:rsid w:val="00FE5551"/>
    <w:rsid w:val="00FE780C"/>
    <w:rsid w:val="00FF0B61"/>
    <w:rsid w:val="00FF3F1C"/>
    <w:rsid w:val="00FF46E5"/>
    <w:rsid w:val="00FF6171"/>
    <w:rsid w:val="00FF6AC5"/>
    <w:rsid w:val="00FF6DE5"/>
    <w:rsid w:val="00FF7D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報告內文"/>
    <w:qFormat/>
    <w:rsid w:val="00C2529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2"/>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qFormat/>
    <w:pPr>
      <w:numPr>
        <w:ilvl w:val="1"/>
        <w:numId w:val="12"/>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2"/>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2"/>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2"/>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2"/>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2"/>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2"/>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character" w:customStyle="1" w:styleId="10">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字元 字元"/>
    <w:basedOn w:val="a8"/>
    <w:link w:val="143"/>
    <w:pPr>
      <w:spacing w:line="280" w:lineRule="exact"/>
      <w:ind w:leftChars="0" w:left="0" w:firstLineChars="0" w:firstLine="0"/>
      <w:jc w:val="left"/>
    </w:pPr>
    <w:rPr>
      <w:sz w:val="24"/>
    </w:rPr>
  </w:style>
  <w:style w:type="paragraph" w:styleId="a8">
    <w:name w:val="table of figures"/>
    <w:basedOn w:val="a"/>
    <w:next w:val="a"/>
    <w:link w:val="a9"/>
    <w:semiHidden/>
    <w:pPr>
      <w:ind w:leftChars="400" w:left="960" w:hangingChars="200" w:hanging="480"/>
    </w:pPr>
  </w:style>
  <w:style w:type="character" w:customStyle="1" w:styleId="a9">
    <w:name w:val="圖表目錄 字元"/>
    <w:link w:val="a8"/>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字元"/>
    <w:basedOn w:val="142"/>
    <w:link w:val="201"/>
    <w:pPr>
      <w:spacing w:line="400" w:lineRule="exact"/>
    </w:pPr>
  </w:style>
  <w:style w:type="character" w:customStyle="1" w:styleId="201">
    <w:name w:val="表格內文(20行高) 字元 字元1"/>
    <w:basedOn w:val="143"/>
    <w:link w:val="2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D61331"/>
    <w:pPr>
      <w:tabs>
        <w:tab w:val="right" w:leader="hyphen" w:pos="8490"/>
      </w:tabs>
      <w:spacing w:line="360" w:lineRule="exact"/>
      <w:ind w:leftChars="0" w:left="307" w:hangingChars="126" w:hanging="307"/>
    </w:pPr>
    <w:rPr>
      <w:color w:val="000000"/>
      <w:sz w:val="24"/>
      <w:szCs w:val="24"/>
    </w:rPr>
  </w:style>
  <w:style w:type="paragraph" w:styleId="21">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d">
    <w:name w:val="Hyperlink"/>
    <w:uiPriority w:val="99"/>
    <w:rPr>
      <w:color w:val="0000FF"/>
      <w:u w:val="single"/>
    </w:rPr>
  </w:style>
  <w:style w:type="paragraph" w:styleId="ae">
    <w:name w:val="Body Text Indent"/>
    <w:basedOn w:val="a"/>
    <w:pPr>
      <w:spacing w:line="480" w:lineRule="exact"/>
      <w:ind w:left="554" w:firstLine="554"/>
    </w:pPr>
    <w:rPr>
      <w:rFonts w:ascii="Times New Roman"/>
    </w:rPr>
  </w:style>
  <w:style w:type="character" w:styleId="af">
    <w:name w:val="page number"/>
    <w:basedOn w:val="a0"/>
  </w:style>
  <w:style w:type="paragraph" w:styleId="af0">
    <w:name w:val="header"/>
    <w:basedOn w:val="a"/>
    <w:pPr>
      <w:tabs>
        <w:tab w:val="center" w:pos="4153"/>
        <w:tab w:val="right" w:pos="8306"/>
      </w:tabs>
      <w:snapToGrid w:val="0"/>
      <w:spacing w:line="480" w:lineRule="exact"/>
    </w:pPr>
    <w:rPr>
      <w:rFonts w:ascii="Times New Roman"/>
      <w:sz w:val="20"/>
      <w:szCs w:val="20"/>
    </w:rPr>
  </w:style>
  <w:style w:type="paragraph" w:styleId="af1">
    <w:name w:val="footer"/>
    <w:basedOn w:val="a"/>
    <w:pPr>
      <w:tabs>
        <w:tab w:val="center" w:pos="4153"/>
        <w:tab w:val="right" w:pos="8306"/>
      </w:tabs>
      <w:snapToGrid w:val="0"/>
      <w:spacing w:line="480" w:lineRule="exact"/>
    </w:pPr>
    <w:rPr>
      <w:rFonts w:ascii="Times New Roman"/>
      <w:sz w:val="20"/>
      <w:szCs w:val="20"/>
    </w:rPr>
  </w:style>
  <w:style w:type="paragraph" w:styleId="22">
    <w:name w:val="Body Text Indent 2"/>
    <w:basedOn w:val="a"/>
    <w:pPr>
      <w:ind w:left="567" w:firstLine="567"/>
      <w:jc w:val="left"/>
    </w:pPr>
  </w:style>
  <w:style w:type="paragraph" w:styleId="af2">
    <w:name w:val="Salutation"/>
    <w:basedOn w:val="a"/>
    <w:next w:val="a"/>
    <w:rPr>
      <w:rFonts w:hAnsi="標楷體"/>
    </w:rPr>
  </w:style>
  <w:style w:type="paragraph" w:styleId="af3">
    <w:name w:val="Closing"/>
    <w:basedOn w:val="a"/>
    <w:pPr>
      <w:ind w:leftChars="1800" w:left="100"/>
    </w:pPr>
    <w:rPr>
      <w:rFonts w:hAnsi="標楷體"/>
    </w:rPr>
  </w:style>
  <w:style w:type="character" w:customStyle="1" w:styleId="af4">
    <w:name w:val="(一)(二)(三) 字元"/>
    <w:link w:val="af5"/>
    <w:rPr>
      <w:rFonts w:ascii="標楷體" w:eastAsia="標楷體"/>
      <w:snapToGrid w:val="0"/>
      <w:kern w:val="2"/>
      <w:sz w:val="28"/>
      <w:szCs w:val="28"/>
      <w:lang w:val="en-US" w:eastAsia="zh-TW" w:bidi="ar-SA"/>
    </w:rPr>
  </w:style>
  <w:style w:type="character" w:customStyle="1" w:styleId="af5">
    <w:name w:val="(一)(二)(三) 字元 字元"/>
    <w:link w:val="af4"/>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6">
    <w:name w:val="FollowedHyperlink"/>
    <w:rPr>
      <w:color w:val="800080"/>
      <w:u w:val="single"/>
    </w:rPr>
  </w:style>
  <w:style w:type="paragraph" w:customStyle="1" w:styleId="50">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0">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table" w:styleId="af7">
    <w:name w:val="Table Grid"/>
    <w:basedOn w:val="a1"/>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0">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1">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2">
    <w:name w:val="表格內文1"/>
    <w:rsid w:val="008C3E5E"/>
    <w:pPr>
      <w:spacing w:line="280" w:lineRule="exact"/>
    </w:pPr>
    <w:rPr>
      <w:rFonts w:eastAsia="標楷體"/>
      <w:sz w:val="24"/>
      <w:szCs w:val="24"/>
    </w:rPr>
  </w:style>
  <w:style w:type="paragraph" w:customStyle="1" w:styleId="145">
    <w:name w:val="表格內文(14行高)"/>
    <w:basedOn w:val="a8"/>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rsid w:val="00C23B27"/>
    <w:rPr>
      <w:rFonts w:ascii="標楷體" w:eastAsia="標楷體"/>
      <w:snapToGrid w:val="0"/>
      <w:kern w:val="2"/>
      <w:sz w:val="24"/>
      <w:szCs w:val="28"/>
      <w:lang w:val="en-US" w:eastAsia="zh-TW" w:bidi="ar-SA"/>
    </w:rPr>
  </w:style>
  <w:style w:type="paragraph" w:customStyle="1" w:styleId="200">
    <w:name w:val="表格內文(20行高)"/>
    <w:basedOn w:val="142"/>
    <w:rsid w:val="006B2954"/>
    <w:pPr>
      <w:spacing w:line="400" w:lineRule="exact"/>
    </w:pPr>
  </w:style>
  <w:style w:type="paragraph" w:styleId="30">
    <w:name w:val="toc 3"/>
    <w:basedOn w:val="a"/>
    <w:next w:val="a"/>
    <w:autoRedefine/>
    <w:semiHidden/>
    <w:rsid w:val="006C5D62"/>
    <w:pPr>
      <w:ind w:leftChars="400" w:left="960"/>
    </w:pPr>
  </w:style>
  <w:style w:type="paragraph" w:customStyle="1" w:styleId="23">
    <w:name w:val="(一)下內文縮2"/>
    <w:basedOn w:val="a"/>
    <w:qFormat/>
    <w:rsid w:val="00092327"/>
    <w:pPr>
      <w:adjustRightInd w:val="0"/>
      <w:ind w:leftChars="300" w:left="300"/>
    </w:pPr>
  </w:style>
  <w:style w:type="paragraph" w:styleId="af9">
    <w:name w:val="footnote text"/>
    <w:basedOn w:val="a"/>
    <w:link w:val="afa"/>
    <w:uiPriority w:val="99"/>
    <w:rsid w:val="00092327"/>
    <w:pPr>
      <w:snapToGrid w:val="0"/>
      <w:jc w:val="left"/>
    </w:pPr>
    <w:rPr>
      <w:sz w:val="20"/>
      <w:szCs w:val="20"/>
    </w:rPr>
  </w:style>
  <w:style w:type="character" w:customStyle="1" w:styleId="afa">
    <w:name w:val="註腳文字 字元"/>
    <w:link w:val="af9"/>
    <w:uiPriority w:val="99"/>
    <w:rsid w:val="00F30533"/>
    <w:rPr>
      <w:rFonts w:ascii="標楷體" w:eastAsia="標楷體"/>
      <w:snapToGrid w:val="0"/>
      <w:kern w:val="2"/>
    </w:rPr>
  </w:style>
  <w:style w:type="character" w:styleId="afb">
    <w:name w:val="footnote reference"/>
    <w:aliases w:val="FR,Ref,de nota al pie,註腳內容,Error-Fußnotenzeichen5,Error-Fußnotenzeichen6,Error-Fußnotenzeichen3"/>
    <w:uiPriority w:val="99"/>
    <w:rsid w:val="00092327"/>
    <w:rPr>
      <w:vertAlign w:val="superscript"/>
    </w:rPr>
  </w:style>
  <w:style w:type="paragraph" w:customStyle="1" w:styleId="afc">
    <w:name w:val="預備金及追加預算標題 字元"/>
    <w:link w:val="afd"/>
    <w:rsid w:val="00D031D7"/>
    <w:pPr>
      <w:spacing w:line="500" w:lineRule="exact"/>
      <w:ind w:left="200" w:hangingChars="200" w:hanging="200"/>
      <w:jc w:val="both"/>
    </w:pPr>
    <w:rPr>
      <w:rFonts w:ascii="標楷體" w:eastAsia="標楷體"/>
      <w:b/>
      <w:snapToGrid w:val="0"/>
      <w:kern w:val="2"/>
      <w:sz w:val="28"/>
    </w:rPr>
  </w:style>
  <w:style w:type="character" w:customStyle="1" w:styleId="afd">
    <w:name w:val="預備金及追加預算標題 字元 字元"/>
    <w:link w:val="afc"/>
    <w:rsid w:val="00D031D7"/>
    <w:rPr>
      <w:rFonts w:ascii="標楷體" w:eastAsia="標楷體"/>
      <w:b/>
      <w:snapToGrid w:val="0"/>
      <w:kern w:val="2"/>
      <w:sz w:val="28"/>
      <w:lang w:val="en-US" w:eastAsia="zh-TW" w:bidi="ar-SA"/>
    </w:rPr>
  </w:style>
  <w:style w:type="character" w:styleId="afe">
    <w:name w:val="annotation reference"/>
    <w:semiHidden/>
    <w:rsid w:val="00CF2D59"/>
    <w:rPr>
      <w:sz w:val="18"/>
      <w:szCs w:val="18"/>
    </w:rPr>
  </w:style>
  <w:style w:type="paragraph" w:styleId="aff">
    <w:name w:val="annotation text"/>
    <w:basedOn w:val="a"/>
    <w:semiHidden/>
    <w:rsid w:val="00CF2D59"/>
    <w:pPr>
      <w:jc w:val="left"/>
    </w:pPr>
  </w:style>
  <w:style w:type="paragraph" w:styleId="aff0">
    <w:name w:val="annotation subject"/>
    <w:basedOn w:val="aff"/>
    <w:next w:val="aff"/>
    <w:semiHidden/>
    <w:rsid w:val="00CF2D59"/>
    <w:rPr>
      <w:b/>
      <w:bCs/>
    </w:rPr>
  </w:style>
  <w:style w:type="paragraph" w:styleId="aff1">
    <w:name w:val="Balloon Text"/>
    <w:basedOn w:val="a"/>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2">
    <w:name w:val="行文機關"/>
    <w:basedOn w:val="a"/>
    <w:rsid w:val="00A450C4"/>
    <w:pPr>
      <w:snapToGrid w:val="0"/>
      <w:spacing w:line="240" w:lineRule="auto"/>
      <w:ind w:leftChars="0" w:left="0" w:firstLineChars="0" w:firstLine="0"/>
      <w:jc w:val="left"/>
    </w:pPr>
    <w:rPr>
      <w:rFonts w:ascii="Times New Roman"/>
      <w:snapToGrid/>
      <w:szCs w:val="20"/>
    </w:rPr>
  </w:style>
  <w:style w:type="paragraph" w:styleId="aff3">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paragraph" w:styleId="aff4">
    <w:name w:val="Body Text"/>
    <w:basedOn w:val="a"/>
    <w:link w:val="aff5"/>
    <w:rsid w:val="00040FBF"/>
    <w:pPr>
      <w:spacing w:after="120"/>
    </w:pPr>
  </w:style>
  <w:style w:type="character" w:customStyle="1" w:styleId="aff5">
    <w:name w:val="本文 字元"/>
    <w:link w:val="aff4"/>
    <w:rsid w:val="00040FBF"/>
    <w:rPr>
      <w:rFonts w:ascii="標楷體" w:eastAsia="標楷體"/>
      <w:snapToGrid w:val="0"/>
      <w:kern w:val="2"/>
      <w:sz w:val="28"/>
      <w:szCs w:val="28"/>
    </w:rPr>
  </w:style>
  <w:style w:type="paragraph" w:styleId="aff6">
    <w:name w:val="Note Heading"/>
    <w:basedOn w:val="a"/>
    <w:next w:val="a"/>
    <w:link w:val="aff7"/>
    <w:rsid w:val="00A10D98"/>
    <w:pPr>
      <w:jc w:val="center"/>
    </w:pPr>
    <w:rPr>
      <w:color w:val="000000"/>
    </w:rPr>
  </w:style>
  <w:style w:type="character" w:customStyle="1" w:styleId="aff7">
    <w:name w:val="註釋標題 字元"/>
    <w:link w:val="aff6"/>
    <w:rsid w:val="00A10D98"/>
    <w:rPr>
      <w:rFonts w:ascii="標楷體" w:eastAsia="標楷體"/>
      <w:snapToGrid w:val="0"/>
      <w:color w:val="000000"/>
      <w:kern w:val="2"/>
      <w:sz w:val="28"/>
      <w:szCs w:val="28"/>
    </w:rPr>
  </w:style>
  <w:style w:type="paragraph" w:customStyle="1" w:styleId="aff8">
    <w:name w:val="表內(一)"/>
    <w:basedOn w:val="145"/>
    <w:link w:val="aff9"/>
    <w:rsid w:val="00402A7C"/>
    <w:pPr>
      <w:spacing w:line="360" w:lineRule="exact"/>
      <w:ind w:left="351" w:hangingChars="144" w:hanging="351"/>
      <w:jc w:val="both"/>
    </w:pPr>
  </w:style>
  <w:style w:type="paragraph" w:customStyle="1" w:styleId="13">
    <w:name w:val="表內1."/>
    <w:basedOn w:val="aff8"/>
    <w:link w:val="15"/>
    <w:rsid w:val="00402A7C"/>
    <w:pPr>
      <w:ind w:leftChars="129" w:left="617" w:hangingChars="103" w:hanging="251"/>
    </w:pPr>
  </w:style>
  <w:style w:type="character" w:customStyle="1" w:styleId="aff9">
    <w:name w:val="表內(一) 字元"/>
    <w:link w:val="aff8"/>
    <w:rsid w:val="00402A7C"/>
    <w:rPr>
      <w:rFonts w:ascii="標楷體" w:eastAsia="標楷體"/>
      <w:snapToGrid w:val="0"/>
      <w:kern w:val="2"/>
      <w:sz w:val="24"/>
      <w:szCs w:val="28"/>
      <w:lang w:val="en-US" w:eastAsia="zh-TW" w:bidi="ar-SA"/>
    </w:rPr>
  </w:style>
  <w:style w:type="paragraph" w:customStyle="1" w:styleId="affa">
    <w:name w:val="表內(一)(二)"/>
    <w:basedOn w:val="aff8"/>
    <w:link w:val="affb"/>
    <w:qFormat/>
    <w:rsid w:val="0080163A"/>
    <w:pPr>
      <w:ind w:left="158" w:hangingChars="65" w:hanging="158"/>
    </w:pPr>
    <w:rPr>
      <w:sz w:val="28"/>
    </w:rPr>
  </w:style>
  <w:style w:type="character" w:customStyle="1" w:styleId="15">
    <w:name w:val="表內1. 字元"/>
    <w:basedOn w:val="aff9"/>
    <w:link w:val="13"/>
    <w:rsid w:val="00402A7C"/>
    <w:rPr>
      <w:rFonts w:ascii="標楷體" w:eastAsia="標楷體"/>
      <w:snapToGrid w:val="0"/>
      <w:kern w:val="2"/>
      <w:sz w:val="24"/>
      <w:szCs w:val="28"/>
      <w:lang w:val="en-US" w:eastAsia="zh-TW" w:bidi="ar-SA"/>
    </w:rPr>
  </w:style>
  <w:style w:type="paragraph" w:customStyle="1" w:styleId="120">
    <w:name w:val="表內1.2."/>
    <w:basedOn w:val="13"/>
    <w:link w:val="121"/>
    <w:qFormat/>
    <w:rsid w:val="0080163A"/>
    <w:pPr>
      <w:ind w:leftChars="61" w:left="438" w:hangingChars="109" w:hanging="265"/>
    </w:pPr>
    <w:rPr>
      <w:sz w:val="28"/>
    </w:rPr>
  </w:style>
  <w:style w:type="character" w:customStyle="1" w:styleId="affb">
    <w:name w:val="表內(一)(二) 字元"/>
    <w:link w:val="affa"/>
    <w:rsid w:val="0080163A"/>
    <w:rPr>
      <w:rFonts w:ascii="標楷體" w:eastAsia="標楷體"/>
      <w:snapToGrid w:val="0"/>
      <w:kern w:val="2"/>
      <w:sz w:val="28"/>
      <w:szCs w:val="28"/>
      <w:lang w:val="en-US" w:eastAsia="zh-TW" w:bidi="ar-SA"/>
    </w:rPr>
  </w:style>
  <w:style w:type="paragraph" w:customStyle="1" w:styleId="24">
    <w:name w:val=" 字元 字元2 字元 字元 字元"/>
    <w:basedOn w:val="a"/>
    <w:semiHidden/>
    <w:rsid w:val="00DD212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1">
    <w:name w:val="表內1.2. 字元"/>
    <w:link w:val="120"/>
    <w:rsid w:val="0080163A"/>
    <w:rPr>
      <w:rFonts w:ascii="標楷體" w:eastAsia="標楷體"/>
      <w:snapToGrid w:val="0"/>
      <w:kern w:val="2"/>
      <w:sz w:val="28"/>
      <w:szCs w:val="28"/>
      <w:lang w:val="en-US" w:eastAsia="zh-TW" w:bidi="ar-SA"/>
    </w:rPr>
  </w:style>
  <w:style w:type="paragraph" w:styleId="affc">
    <w:name w:val="Date"/>
    <w:basedOn w:val="a"/>
    <w:next w:val="a"/>
    <w:link w:val="affd"/>
    <w:rsid w:val="00DD212F"/>
    <w:pPr>
      <w:spacing w:line="240" w:lineRule="auto"/>
      <w:ind w:leftChars="0" w:left="0" w:firstLineChars="0" w:firstLine="0"/>
      <w:jc w:val="right"/>
    </w:pPr>
    <w:rPr>
      <w:rFonts w:ascii="Times New Roman"/>
      <w:b/>
      <w:bCs/>
      <w:snapToGrid/>
      <w:sz w:val="36"/>
      <w:szCs w:val="24"/>
    </w:rPr>
  </w:style>
  <w:style w:type="character" w:customStyle="1" w:styleId="affd">
    <w:name w:val="日期 字元"/>
    <w:link w:val="affc"/>
    <w:rsid w:val="00DD212F"/>
    <w:rPr>
      <w:rFonts w:eastAsia="標楷體"/>
      <w:b/>
      <w:bCs/>
      <w:kern w:val="2"/>
      <w:sz w:val="36"/>
      <w:szCs w:val="24"/>
    </w:rPr>
  </w:style>
  <w:style w:type="paragraph" w:customStyle="1" w:styleId="affe">
    <w:name w:val="表內一"/>
    <w:basedOn w:val="145"/>
    <w:qFormat/>
    <w:rsid w:val="00A71D77"/>
    <w:pPr>
      <w:ind w:left="222" w:rightChars="-27" w:right="-77" w:hangingChars="91" w:hanging="222"/>
      <w:jc w:val="both"/>
    </w:pPr>
    <w:rPr>
      <w:rFonts w:hAnsi="標楷體" w:cs="Arial"/>
      <w:snapToGrid/>
      <w:szCs w:val="24"/>
    </w:rPr>
  </w:style>
  <w:style w:type="paragraph" w:customStyle="1" w:styleId="afff">
    <w:name w:val="表格內文頂頭"/>
    <w:basedOn w:val="a"/>
    <w:next w:val="a"/>
    <w:rsid w:val="009716C1"/>
    <w:pPr>
      <w:kinsoku w:val="0"/>
      <w:overflowPunct w:val="0"/>
      <w:autoSpaceDE w:val="0"/>
      <w:autoSpaceDN w:val="0"/>
      <w:snapToGrid w:val="0"/>
      <w:spacing w:line="240" w:lineRule="auto"/>
      <w:ind w:leftChars="0" w:left="0" w:firstLineChars="0" w:firstLine="0"/>
    </w:pPr>
    <w:rPr>
      <w:rFonts w:ascii="Times New Roman" w:eastAsia="華康細明體"/>
      <w:snapToGrid/>
      <w:sz w:val="24"/>
      <w:szCs w:val="24"/>
    </w:rPr>
  </w:style>
  <w:style w:type="paragraph" w:customStyle="1" w:styleId="afff0">
    <w:name w:val="表格第一列(文字分散)"/>
    <w:basedOn w:val="a"/>
    <w:next w:val="a"/>
    <w:rsid w:val="009716C1"/>
    <w:pPr>
      <w:kinsoku w:val="0"/>
      <w:overflowPunct w:val="0"/>
      <w:autoSpaceDE w:val="0"/>
      <w:autoSpaceDN w:val="0"/>
      <w:snapToGrid w:val="0"/>
      <w:spacing w:line="240" w:lineRule="auto"/>
      <w:ind w:leftChars="50" w:left="105" w:rightChars="50" w:right="105" w:firstLineChars="0" w:firstLine="0"/>
      <w:jc w:val="distribute"/>
    </w:pPr>
    <w:rPr>
      <w:rFonts w:ascii="Times New Roman" w:eastAsia="華康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209475">
      <w:bodyDiv w:val="1"/>
      <w:marLeft w:val="0"/>
      <w:marRight w:val="0"/>
      <w:marTop w:val="0"/>
      <w:marBottom w:val="0"/>
      <w:divBdr>
        <w:top w:val="none" w:sz="0" w:space="0" w:color="auto"/>
        <w:left w:val="none" w:sz="0" w:space="0" w:color="auto"/>
        <w:bottom w:val="none" w:sz="0" w:space="0" w:color="auto"/>
        <w:right w:val="none" w:sz="0" w:space="0" w:color="auto"/>
      </w:divBdr>
    </w:div>
    <w:div w:id="495144699">
      <w:bodyDiv w:val="1"/>
      <w:marLeft w:val="0"/>
      <w:marRight w:val="0"/>
      <w:marTop w:val="0"/>
      <w:marBottom w:val="0"/>
      <w:divBdr>
        <w:top w:val="none" w:sz="0" w:space="0" w:color="auto"/>
        <w:left w:val="none" w:sz="0" w:space="0" w:color="auto"/>
        <w:bottom w:val="none" w:sz="0" w:space="0" w:color="auto"/>
        <w:right w:val="none" w:sz="0" w:space="0" w:color="auto"/>
      </w:divBdr>
    </w:div>
    <w:div w:id="1527328846">
      <w:bodyDiv w:val="1"/>
      <w:marLeft w:val="0"/>
      <w:marRight w:val="0"/>
      <w:marTop w:val="0"/>
      <w:marBottom w:val="0"/>
      <w:divBdr>
        <w:top w:val="none" w:sz="0" w:space="0" w:color="auto"/>
        <w:left w:val="none" w:sz="0" w:space="0" w:color="auto"/>
        <w:bottom w:val="none" w:sz="0" w:space="0" w:color="auto"/>
        <w:right w:val="none" w:sz="0" w:space="0" w:color="auto"/>
      </w:divBdr>
    </w:div>
    <w:div w:id="164122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47E0F-7176-4161-8021-3478F719F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5371</Words>
  <Characters>30616</Characters>
  <Application>Microsoft Office Word</Application>
  <DocSecurity>0</DocSecurity>
  <Lines>255</Lines>
  <Paragraphs>71</Paragraphs>
  <ScaleCrop>false</ScaleCrop>
  <Company/>
  <LinksUpToDate>false</LinksUpToDate>
  <CharactersWithSpaces>35916</CharactersWithSpaces>
  <SharedDoc>false</SharedDoc>
  <HLinks>
    <vt:vector size="12" baseType="variant">
      <vt:variant>
        <vt:i4>1114167</vt:i4>
      </vt:variant>
      <vt:variant>
        <vt:i4>8</vt:i4>
      </vt:variant>
      <vt:variant>
        <vt:i4>0</vt:i4>
      </vt:variant>
      <vt:variant>
        <vt:i4>5</vt:i4>
      </vt:variant>
      <vt:variant>
        <vt:lpwstr/>
      </vt:variant>
      <vt:variant>
        <vt:lpwstr>_Toc66375077</vt:lpwstr>
      </vt:variant>
      <vt:variant>
        <vt:i4>1048631</vt:i4>
      </vt:variant>
      <vt:variant>
        <vt:i4>2</vt:i4>
      </vt:variant>
      <vt:variant>
        <vt:i4>0</vt:i4>
      </vt:variant>
      <vt:variant>
        <vt:i4>5</vt:i4>
      </vt:variant>
      <vt:variant>
        <vt:lpwstr/>
      </vt:variant>
      <vt:variant>
        <vt:lpwstr>_Toc66375076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hp400g3</cp:lastModifiedBy>
  <cp:revision>2</cp:revision>
  <cp:lastPrinted>2022-03-30T08:02:00Z</cp:lastPrinted>
  <dcterms:created xsi:type="dcterms:W3CDTF">2022-04-15T06:47:00Z</dcterms:created>
  <dcterms:modified xsi:type="dcterms:W3CDTF">2022-04-15T06:47:00Z</dcterms:modified>
</cp:coreProperties>
</file>